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1FF" w:rsidRDefault="00B65DCB" w:rsidP="00B65DCB">
      <w:pPr>
        <w:pStyle w:val="a9"/>
        <w:ind w:right="3119"/>
        <w:rPr>
          <w:b/>
          <w:sz w:val="20"/>
          <w:szCs w:val="20"/>
        </w:rPr>
      </w:pPr>
      <w:r>
        <w:rPr>
          <w:b/>
          <w:sz w:val="20"/>
          <w:szCs w:val="20"/>
        </w:rPr>
        <w:t xml:space="preserve">                                                                                       </w:t>
      </w:r>
      <w:r w:rsidR="008C71FF" w:rsidRPr="008C71FF">
        <w:rPr>
          <w:b/>
          <w:sz w:val="20"/>
          <w:szCs w:val="20"/>
        </w:rPr>
        <w:t>Додаток 1</w:t>
      </w:r>
    </w:p>
    <w:p w:rsidR="00701776" w:rsidRDefault="00B65DCB" w:rsidP="00701776">
      <w:pPr>
        <w:pStyle w:val="a9"/>
        <w:ind w:right="993"/>
        <w:jc w:val="right"/>
        <w:rPr>
          <w:b/>
          <w:color w:val="FF0000"/>
          <w:sz w:val="20"/>
          <w:szCs w:val="20"/>
        </w:rPr>
      </w:pPr>
      <w:r>
        <w:rPr>
          <w:b/>
          <w:sz w:val="20"/>
          <w:szCs w:val="20"/>
        </w:rPr>
        <w:t xml:space="preserve">   </w:t>
      </w:r>
      <w:r w:rsidR="000D7F57" w:rsidRPr="000D7F57">
        <w:rPr>
          <w:b/>
          <w:sz w:val="20"/>
          <w:szCs w:val="20"/>
        </w:rPr>
        <w:t xml:space="preserve">до рішення </w:t>
      </w:r>
      <w:r>
        <w:rPr>
          <w:b/>
          <w:sz w:val="20"/>
          <w:szCs w:val="20"/>
        </w:rPr>
        <w:t>сесії Бучанської міської ради</w:t>
      </w:r>
    </w:p>
    <w:p w:rsidR="000D7F57" w:rsidRDefault="000D7F57" w:rsidP="00B65DCB">
      <w:pPr>
        <w:pStyle w:val="a9"/>
        <w:ind w:right="1844"/>
        <w:jc w:val="right"/>
        <w:rPr>
          <w:b/>
          <w:sz w:val="20"/>
          <w:szCs w:val="20"/>
        </w:rPr>
      </w:pPr>
      <w:r w:rsidRPr="000D7F57">
        <w:rPr>
          <w:b/>
          <w:sz w:val="20"/>
          <w:szCs w:val="20"/>
        </w:rPr>
        <w:t xml:space="preserve"> </w:t>
      </w:r>
      <w:r w:rsidRPr="00B65DCB">
        <w:rPr>
          <w:b/>
          <w:sz w:val="20"/>
          <w:szCs w:val="20"/>
        </w:rPr>
        <w:t xml:space="preserve">                                                                        </w:t>
      </w:r>
      <w:r w:rsidR="00B65DCB">
        <w:rPr>
          <w:b/>
          <w:sz w:val="20"/>
          <w:szCs w:val="20"/>
        </w:rPr>
        <w:t xml:space="preserve">                       </w:t>
      </w:r>
      <w:r w:rsidRPr="00B65DCB">
        <w:rPr>
          <w:b/>
          <w:sz w:val="20"/>
          <w:szCs w:val="20"/>
        </w:rPr>
        <w:t xml:space="preserve"> </w:t>
      </w:r>
      <w:r>
        <w:rPr>
          <w:b/>
          <w:sz w:val="20"/>
          <w:szCs w:val="20"/>
        </w:rPr>
        <w:t xml:space="preserve">(позачергове засідання) </w:t>
      </w:r>
    </w:p>
    <w:p w:rsidR="000D7F57" w:rsidRPr="00B65DCB" w:rsidRDefault="000D7F57" w:rsidP="000D7F57">
      <w:pPr>
        <w:pStyle w:val="a9"/>
        <w:tabs>
          <w:tab w:val="left" w:pos="8647"/>
        </w:tabs>
        <w:ind w:right="851"/>
        <w:rPr>
          <w:b/>
          <w:sz w:val="20"/>
          <w:szCs w:val="20"/>
        </w:rPr>
      </w:pPr>
      <w:r w:rsidRPr="00B65DCB">
        <w:rPr>
          <w:b/>
          <w:sz w:val="20"/>
          <w:szCs w:val="20"/>
          <w:lang w:val="ru-RU"/>
        </w:rPr>
        <w:t xml:space="preserve">                                              </w:t>
      </w:r>
      <w:r w:rsidR="00B65DCB" w:rsidRPr="00B65DCB">
        <w:rPr>
          <w:b/>
          <w:sz w:val="20"/>
          <w:szCs w:val="20"/>
          <w:lang w:val="ru-RU"/>
        </w:rPr>
        <w:t xml:space="preserve">                      </w:t>
      </w:r>
      <w:r w:rsidR="00B65DCB">
        <w:rPr>
          <w:b/>
          <w:sz w:val="20"/>
          <w:szCs w:val="20"/>
          <w:lang w:val="ru-RU"/>
        </w:rPr>
        <w:t xml:space="preserve">                        </w:t>
      </w:r>
      <w:r w:rsidR="00B65DCB" w:rsidRPr="00B65DCB">
        <w:rPr>
          <w:b/>
          <w:sz w:val="20"/>
          <w:szCs w:val="20"/>
          <w:lang w:val="ru-RU"/>
        </w:rPr>
        <w:t xml:space="preserve"> </w:t>
      </w:r>
      <w:r w:rsidRPr="00B65DCB">
        <w:rPr>
          <w:b/>
          <w:sz w:val="20"/>
          <w:szCs w:val="20"/>
          <w:lang w:val="ru-RU"/>
        </w:rPr>
        <w:t xml:space="preserve"> </w:t>
      </w:r>
      <w:r w:rsidR="00012882">
        <w:rPr>
          <w:b/>
          <w:sz w:val="20"/>
          <w:szCs w:val="20"/>
          <w:lang w:val="ru-RU"/>
        </w:rPr>
        <w:t xml:space="preserve">     </w:t>
      </w:r>
      <w:r w:rsidRPr="00B65DCB">
        <w:rPr>
          <w:b/>
          <w:sz w:val="20"/>
          <w:szCs w:val="20"/>
        </w:rPr>
        <w:t xml:space="preserve">від </w:t>
      </w:r>
      <w:r w:rsidR="00BE7F5F" w:rsidRPr="00B65DCB">
        <w:rPr>
          <w:b/>
          <w:sz w:val="20"/>
          <w:szCs w:val="20"/>
        </w:rPr>
        <w:t xml:space="preserve">          </w:t>
      </w:r>
      <w:r w:rsidR="00B65DCB">
        <w:rPr>
          <w:b/>
          <w:sz w:val="20"/>
          <w:szCs w:val="20"/>
        </w:rPr>
        <w:t>2023</w:t>
      </w:r>
      <w:r w:rsidR="00012882">
        <w:rPr>
          <w:b/>
          <w:sz w:val="20"/>
          <w:szCs w:val="20"/>
        </w:rPr>
        <w:t xml:space="preserve"> </w:t>
      </w:r>
      <w:r w:rsidR="00BE7F5F" w:rsidRPr="00B65DCB">
        <w:rPr>
          <w:b/>
          <w:sz w:val="20"/>
          <w:szCs w:val="20"/>
        </w:rPr>
        <w:t xml:space="preserve">року № </w:t>
      </w:r>
      <w:r w:rsidR="00B65DCB">
        <w:rPr>
          <w:b/>
          <w:sz w:val="20"/>
          <w:szCs w:val="20"/>
        </w:rPr>
        <w:t xml:space="preserve">                    </w:t>
      </w:r>
      <w:r w:rsidRPr="00B65DCB">
        <w:rPr>
          <w:b/>
          <w:sz w:val="20"/>
          <w:szCs w:val="20"/>
        </w:rPr>
        <w:t>-</w:t>
      </w:r>
      <w:r w:rsidR="00B65DCB">
        <w:rPr>
          <w:b/>
          <w:sz w:val="20"/>
          <w:szCs w:val="20"/>
        </w:rPr>
        <w:t>46</w:t>
      </w:r>
      <w:r w:rsidR="00BE7F5F" w:rsidRPr="00B65DCB">
        <w:rPr>
          <w:b/>
          <w:sz w:val="20"/>
          <w:szCs w:val="20"/>
        </w:rPr>
        <w:t xml:space="preserve"> </w:t>
      </w:r>
      <w:r w:rsidRPr="00B65DCB">
        <w:rPr>
          <w:b/>
          <w:sz w:val="20"/>
          <w:szCs w:val="20"/>
        </w:rPr>
        <w:t xml:space="preserve">-VIII   </w:t>
      </w:r>
    </w:p>
    <w:p w:rsidR="000D7F57" w:rsidRDefault="00012882" w:rsidP="00012882">
      <w:pPr>
        <w:pStyle w:val="a9"/>
        <w:ind w:right="568"/>
        <w:jc w:val="left"/>
        <w:rPr>
          <w:b/>
          <w:sz w:val="20"/>
          <w:szCs w:val="20"/>
        </w:rPr>
      </w:pPr>
      <w:r>
        <w:rPr>
          <w:b/>
          <w:sz w:val="20"/>
          <w:szCs w:val="20"/>
          <w:lang w:val="ru-RU"/>
        </w:rPr>
        <w:t xml:space="preserve">                                                                                                   </w:t>
      </w:r>
      <w:r w:rsidR="000D7F57" w:rsidRPr="00B65DCB">
        <w:rPr>
          <w:b/>
          <w:sz w:val="20"/>
          <w:szCs w:val="20"/>
          <w:lang w:val="ru-RU"/>
        </w:rPr>
        <w:t xml:space="preserve"> </w:t>
      </w:r>
      <w:r w:rsidR="000D7F57" w:rsidRPr="000D7F57">
        <w:rPr>
          <w:b/>
          <w:sz w:val="20"/>
          <w:szCs w:val="20"/>
        </w:rPr>
        <w:t>"Про виконання бюджету Бучанської</w:t>
      </w:r>
    </w:p>
    <w:p w:rsidR="00750CF4" w:rsidRDefault="00750CF4" w:rsidP="00750CF4">
      <w:pPr>
        <w:pStyle w:val="a9"/>
        <w:ind w:right="1"/>
        <w:jc w:val="left"/>
        <w:rPr>
          <w:b/>
          <w:sz w:val="20"/>
          <w:szCs w:val="20"/>
        </w:rPr>
      </w:pPr>
      <w:r>
        <w:rPr>
          <w:b/>
          <w:sz w:val="20"/>
          <w:szCs w:val="20"/>
        </w:rPr>
        <w:t xml:space="preserve">                                                                                  </w:t>
      </w:r>
      <w:r w:rsidR="00012882">
        <w:rPr>
          <w:b/>
          <w:sz w:val="20"/>
          <w:szCs w:val="20"/>
        </w:rPr>
        <w:t xml:space="preserve">                     </w:t>
      </w:r>
      <w:r w:rsidR="000D7F57" w:rsidRPr="000D7F57">
        <w:rPr>
          <w:b/>
          <w:sz w:val="20"/>
          <w:szCs w:val="20"/>
        </w:rPr>
        <w:t>міської територіальної громади</w:t>
      </w:r>
      <w:r w:rsidR="000D7F57" w:rsidRPr="00B65DCB">
        <w:rPr>
          <w:b/>
          <w:sz w:val="20"/>
          <w:szCs w:val="20"/>
          <w:lang w:val="ru-RU"/>
        </w:rPr>
        <w:t xml:space="preserve"> </w:t>
      </w:r>
      <w:r w:rsidR="000D7F57" w:rsidRPr="000D7F57">
        <w:rPr>
          <w:b/>
          <w:sz w:val="20"/>
          <w:szCs w:val="20"/>
        </w:rPr>
        <w:t>за</w:t>
      </w:r>
    </w:p>
    <w:p w:rsidR="000D7F57" w:rsidRPr="008C71FF" w:rsidRDefault="00750CF4" w:rsidP="00750CF4">
      <w:pPr>
        <w:pStyle w:val="a9"/>
        <w:ind w:right="1"/>
        <w:rPr>
          <w:b/>
          <w:sz w:val="20"/>
          <w:szCs w:val="20"/>
        </w:rPr>
      </w:pPr>
      <w:r>
        <w:rPr>
          <w:b/>
          <w:sz w:val="20"/>
          <w:szCs w:val="20"/>
        </w:rPr>
        <w:t xml:space="preserve">                                          </w:t>
      </w:r>
      <w:r w:rsidR="00012882">
        <w:rPr>
          <w:b/>
          <w:sz w:val="20"/>
          <w:szCs w:val="20"/>
        </w:rPr>
        <w:t xml:space="preserve">        </w:t>
      </w:r>
      <w:bookmarkStart w:id="0" w:name="_GoBack"/>
      <w:bookmarkEnd w:id="0"/>
      <w:r w:rsidR="00CF70D7">
        <w:rPr>
          <w:b/>
          <w:sz w:val="20"/>
          <w:szCs w:val="20"/>
        </w:rPr>
        <w:t>І</w:t>
      </w:r>
      <w:r>
        <w:rPr>
          <w:b/>
          <w:sz w:val="20"/>
          <w:szCs w:val="20"/>
        </w:rPr>
        <w:t xml:space="preserve"> </w:t>
      </w:r>
      <w:r w:rsidR="000A6FC4">
        <w:rPr>
          <w:b/>
          <w:sz w:val="20"/>
          <w:szCs w:val="20"/>
        </w:rPr>
        <w:t>півріччя</w:t>
      </w:r>
      <w:r>
        <w:rPr>
          <w:b/>
          <w:sz w:val="20"/>
          <w:szCs w:val="20"/>
        </w:rPr>
        <w:t xml:space="preserve"> </w:t>
      </w:r>
      <w:r w:rsidR="000D7F57" w:rsidRPr="000D7F57">
        <w:rPr>
          <w:b/>
          <w:sz w:val="20"/>
          <w:szCs w:val="20"/>
        </w:rPr>
        <w:t>202</w:t>
      </w:r>
      <w:r>
        <w:rPr>
          <w:b/>
          <w:sz w:val="20"/>
          <w:szCs w:val="20"/>
        </w:rPr>
        <w:t>3</w:t>
      </w:r>
      <w:r w:rsidR="000D7F57" w:rsidRPr="000D7F57">
        <w:rPr>
          <w:b/>
          <w:sz w:val="20"/>
          <w:szCs w:val="20"/>
        </w:rPr>
        <w:t xml:space="preserve"> р</w:t>
      </w:r>
      <w:r>
        <w:rPr>
          <w:b/>
          <w:sz w:val="20"/>
          <w:szCs w:val="20"/>
        </w:rPr>
        <w:t>оку</w:t>
      </w:r>
      <w:r w:rsidR="000D7F57" w:rsidRPr="000D7F57">
        <w:rPr>
          <w:b/>
          <w:sz w:val="20"/>
          <w:szCs w:val="20"/>
        </w:rPr>
        <w:t>"</w:t>
      </w:r>
    </w:p>
    <w:p w:rsidR="00225328" w:rsidRDefault="00225328" w:rsidP="002E6621">
      <w:pPr>
        <w:pStyle w:val="a9"/>
        <w:rPr>
          <w:b/>
          <w:szCs w:val="28"/>
        </w:rPr>
      </w:pPr>
    </w:p>
    <w:p w:rsidR="000C35EE" w:rsidRPr="00B1245C" w:rsidRDefault="000C35EE" w:rsidP="002E6621">
      <w:pPr>
        <w:pStyle w:val="a9"/>
        <w:rPr>
          <w:b/>
          <w:szCs w:val="28"/>
        </w:rPr>
      </w:pPr>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Pr="00B1245C" w:rsidRDefault="000C35EE" w:rsidP="002E6621">
      <w:pPr>
        <w:jc w:val="center"/>
        <w:rPr>
          <w:b/>
          <w:sz w:val="28"/>
          <w:szCs w:val="28"/>
          <w:lang w:val="uk-UA"/>
        </w:rPr>
      </w:pPr>
      <w:r w:rsidRPr="00B1245C">
        <w:rPr>
          <w:b/>
          <w:sz w:val="28"/>
          <w:szCs w:val="28"/>
          <w:lang w:val="uk-UA"/>
        </w:rPr>
        <w:t xml:space="preserve">за </w:t>
      </w:r>
      <w:r w:rsidR="00814F51">
        <w:rPr>
          <w:b/>
          <w:sz w:val="28"/>
          <w:szCs w:val="28"/>
          <w:lang w:val="en-US"/>
        </w:rPr>
        <w:t>I</w:t>
      </w:r>
      <w:r w:rsidR="00814F51" w:rsidRPr="00B65DCB">
        <w:rPr>
          <w:b/>
          <w:sz w:val="28"/>
          <w:szCs w:val="28"/>
          <w:lang w:val="uk-UA"/>
        </w:rPr>
        <w:t xml:space="preserve"> </w:t>
      </w:r>
      <w:r w:rsidR="000A6FC4">
        <w:rPr>
          <w:b/>
          <w:sz w:val="28"/>
          <w:szCs w:val="28"/>
          <w:lang w:val="uk-UA"/>
        </w:rPr>
        <w:t>півріччя</w:t>
      </w:r>
      <w:r w:rsidR="00CD0BE4" w:rsidRPr="00CD0BE4">
        <w:rPr>
          <w:b/>
          <w:sz w:val="28"/>
          <w:szCs w:val="28"/>
          <w:lang w:val="uk-UA"/>
        </w:rPr>
        <w:t xml:space="preserve"> </w:t>
      </w:r>
      <w:r w:rsidRPr="00B1245C">
        <w:rPr>
          <w:b/>
          <w:sz w:val="28"/>
          <w:szCs w:val="28"/>
          <w:lang w:val="uk-UA"/>
        </w:rPr>
        <w:t>202</w:t>
      </w:r>
      <w:r w:rsidR="00CD0BE4">
        <w:rPr>
          <w:b/>
          <w:sz w:val="28"/>
          <w:szCs w:val="28"/>
          <w:lang w:val="uk-UA"/>
        </w:rPr>
        <w:t>3</w:t>
      </w:r>
      <w:r w:rsidRPr="00B1245C">
        <w:rPr>
          <w:b/>
          <w:sz w:val="28"/>
          <w:szCs w:val="28"/>
          <w:lang w:val="uk-UA"/>
        </w:rPr>
        <w:t xml:space="preserve"> р</w:t>
      </w:r>
      <w:r w:rsidR="00CD0BE4">
        <w:rPr>
          <w:b/>
          <w:sz w:val="28"/>
          <w:szCs w:val="28"/>
          <w:lang w:val="uk-UA"/>
        </w:rPr>
        <w:t>оку</w:t>
      </w:r>
    </w:p>
    <w:p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185309" w:rsidRDefault="00B00A6E" w:rsidP="00B00A6E">
      <w:pPr>
        <w:tabs>
          <w:tab w:val="left" w:pos="1530"/>
          <w:tab w:val="left" w:pos="3210"/>
          <w:tab w:val="center" w:pos="5127"/>
        </w:tabs>
        <w:ind w:firstLine="900"/>
        <w:jc w:val="both"/>
        <w:rPr>
          <w:b/>
          <w:lang w:val="uk-UA"/>
        </w:rPr>
      </w:pPr>
    </w:p>
    <w:p w:rsidR="00982654" w:rsidRPr="00185309" w:rsidRDefault="00B00A6E" w:rsidP="00EA4B1E">
      <w:pPr>
        <w:tabs>
          <w:tab w:val="left" w:pos="1530"/>
          <w:tab w:val="left" w:pos="3210"/>
          <w:tab w:val="center" w:pos="5127"/>
        </w:tabs>
        <w:ind w:firstLine="567"/>
        <w:jc w:val="both"/>
        <w:rPr>
          <w:lang w:val="uk-UA"/>
        </w:rPr>
      </w:pPr>
      <w:r w:rsidRPr="00185309">
        <w:rPr>
          <w:lang w:val="uk-UA"/>
        </w:rPr>
        <w:t xml:space="preserve">До бюджету Бучанської міської територіальної громади за </w:t>
      </w:r>
      <w:r w:rsidR="00814F51" w:rsidRPr="00185309">
        <w:rPr>
          <w:lang w:val="uk-UA"/>
        </w:rPr>
        <w:t xml:space="preserve">I </w:t>
      </w:r>
      <w:r w:rsidR="000A6FC4" w:rsidRPr="00185309">
        <w:rPr>
          <w:lang w:val="uk-UA"/>
        </w:rPr>
        <w:t>півріччя</w:t>
      </w:r>
      <w:r w:rsidR="00CD0BE4" w:rsidRPr="00185309">
        <w:rPr>
          <w:lang w:val="uk-UA"/>
        </w:rPr>
        <w:t xml:space="preserve"> </w:t>
      </w:r>
      <w:r w:rsidRPr="00185309">
        <w:rPr>
          <w:lang w:val="uk-UA"/>
        </w:rPr>
        <w:t>202</w:t>
      </w:r>
      <w:r w:rsidR="00CD0BE4" w:rsidRPr="00185309">
        <w:rPr>
          <w:lang w:val="uk-UA"/>
        </w:rPr>
        <w:t>3</w:t>
      </w:r>
      <w:r w:rsidRPr="00185309">
        <w:rPr>
          <w:lang w:val="uk-UA"/>
        </w:rPr>
        <w:t xml:space="preserve"> р</w:t>
      </w:r>
      <w:r w:rsidR="00CD0BE4" w:rsidRPr="00185309">
        <w:rPr>
          <w:lang w:val="uk-UA"/>
        </w:rPr>
        <w:t>оку</w:t>
      </w:r>
      <w:r w:rsidRPr="00185309">
        <w:rPr>
          <w:lang w:val="uk-UA"/>
        </w:rPr>
        <w:t xml:space="preserve"> надійшло доходів в сумі </w:t>
      </w:r>
      <w:r w:rsidR="000A6FC4" w:rsidRPr="00185309">
        <w:rPr>
          <w:lang w:val="uk-UA"/>
        </w:rPr>
        <w:t>6</w:t>
      </w:r>
      <w:r w:rsidR="00B11282" w:rsidRPr="00185309">
        <w:rPr>
          <w:lang w:val="uk-UA"/>
        </w:rPr>
        <w:t>30 </w:t>
      </w:r>
      <w:r w:rsidR="000A6FC4" w:rsidRPr="00185309">
        <w:rPr>
          <w:lang w:val="uk-UA"/>
        </w:rPr>
        <w:t>730</w:t>
      </w:r>
      <w:r w:rsidR="00B11282" w:rsidRPr="00185309">
        <w:rPr>
          <w:lang w:val="uk-UA"/>
        </w:rPr>
        <w:t>,</w:t>
      </w:r>
      <w:r w:rsidR="000A6FC4" w:rsidRPr="00185309">
        <w:rPr>
          <w:lang w:val="uk-UA"/>
        </w:rPr>
        <w:t>1</w:t>
      </w:r>
      <w:r w:rsidRPr="00185309">
        <w:rPr>
          <w:lang w:val="uk-UA"/>
        </w:rPr>
        <w:t xml:space="preserve"> тис. грн, що </w:t>
      </w:r>
      <w:r w:rsidR="00982654" w:rsidRPr="00185309">
        <w:rPr>
          <w:lang w:val="uk-UA"/>
        </w:rPr>
        <w:t xml:space="preserve">становить </w:t>
      </w:r>
      <w:r w:rsidR="000A6FC4" w:rsidRPr="00185309">
        <w:rPr>
          <w:lang w:val="uk-UA"/>
        </w:rPr>
        <w:t>91,7</w:t>
      </w:r>
      <w:r w:rsidR="00982654" w:rsidRPr="00185309">
        <w:rPr>
          <w:b/>
          <w:i/>
          <w:lang w:val="uk-UA"/>
        </w:rPr>
        <w:t xml:space="preserve"> %</w:t>
      </w:r>
      <w:r w:rsidR="00982654" w:rsidRPr="00185309">
        <w:rPr>
          <w:lang w:val="uk-UA"/>
        </w:rPr>
        <w:t xml:space="preserve"> від затвердженого плану на відповідн</w:t>
      </w:r>
      <w:r w:rsidR="00D80233" w:rsidRPr="00185309">
        <w:rPr>
          <w:lang w:val="uk-UA"/>
        </w:rPr>
        <w:t>ий період (з врахуванням змін), в</w:t>
      </w:r>
      <w:r w:rsidR="00982654" w:rsidRPr="00185309">
        <w:rPr>
          <w:lang w:val="uk-UA"/>
        </w:rPr>
        <w:t xml:space="preserve"> тому числі:</w:t>
      </w:r>
    </w:p>
    <w:p w:rsidR="00982654" w:rsidRPr="00185309" w:rsidRDefault="00982654" w:rsidP="00E32D3B">
      <w:pPr>
        <w:pStyle w:val="af6"/>
        <w:numPr>
          <w:ilvl w:val="0"/>
          <w:numId w:val="19"/>
        </w:numPr>
        <w:tabs>
          <w:tab w:val="left" w:pos="567"/>
        </w:tabs>
        <w:spacing w:after="0" w:line="240" w:lineRule="auto"/>
        <w:ind w:left="709" w:hanging="142"/>
        <w:jc w:val="both"/>
        <w:rPr>
          <w:rFonts w:ascii="Times New Roman" w:hAnsi="Times New Roman"/>
          <w:sz w:val="24"/>
          <w:szCs w:val="24"/>
        </w:rPr>
      </w:pPr>
      <w:r w:rsidRPr="00185309">
        <w:rPr>
          <w:rFonts w:ascii="Times New Roman" w:hAnsi="Times New Roman"/>
          <w:sz w:val="24"/>
          <w:szCs w:val="24"/>
        </w:rPr>
        <w:t xml:space="preserve">податкові надходження – </w:t>
      </w:r>
      <w:r w:rsidR="00C86048" w:rsidRPr="00185309">
        <w:rPr>
          <w:rFonts w:ascii="Times New Roman" w:hAnsi="Times New Roman"/>
          <w:sz w:val="24"/>
          <w:szCs w:val="24"/>
        </w:rPr>
        <w:t>296 850,3</w:t>
      </w:r>
      <w:r w:rsidRPr="00185309">
        <w:rPr>
          <w:rFonts w:ascii="Times New Roman" w:hAnsi="Times New Roman"/>
          <w:sz w:val="24"/>
          <w:szCs w:val="24"/>
        </w:rPr>
        <w:t xml:space="preserve"> тис. грн (</w:t>
      </w:r>
      <w:r w:rsidR="007D6987" w:rsidRPr="00185309">
        <w:rPr>
          <w:rFonts w:ascii="Times New Roman" w:hAnsi="Times New Roman"/>
          <w:sz w:val="24"/>
          <w:szCs w:val="24"/>
        </w:rPr>
        <w:t>1</w:t>
      </w:r>
      <w:r w:rsidR="00C86048" w:rsidRPr="00185309">
        <w:rPr>
          <w:rFonts w:ascii="Times New Roman" w:hAnsi="Times New Roman"/>
          <w:sz w:val="24"/>
          <w:szCs w:val="24"/>
        </w:rPr>
        <w:t>00</w:t>
      </w:r>
      <w:r w:rsidR="007D6987" w:rsidRPr="00185309">
        <w:rPr>
          <w:rFonts w:ascii="Times New Roman" w:hAnsi="Times New Roman"/>
          <w:sz w:val="24"/>
          <w:szCs w:val="24"/>
        </w:rPr>
        <w:t>,</w:t>
      </w:r>
      <w:r w:rsidR="00C86048" w:rsidRPr="00185309">
        <w:rPr>
          <w:rFonts w:ascii="Times New Roman" w:hAnsi="Times New Roman"/>
          <w:sz w:val="24"/>
          <w:szCs w:val="24"/>
        </w:rPr>
        <w:t>3</w:t>
      </w:r>
      <w:r w:rsidRPr="00185309">
        <w:rPr>
          <w:rFonts w:ascii="Times New Roman" w:hAnsi="Times New Roman"/>
          <w:sz w:val="24"/>
          <w:szCs w:val="24"/>
        </w:rPr>
        <w:t xml:space="preserve">% виконання  плану на </w:t>
      </w:r>
      <w:r w:rsidR="00814F51" w:rsidRPr="00185309">
        <w:rPr>
          <w:rFonts w:ascii="Times New Roman" w:hAnsi="Times New Roman"/>
          <w:sz w:val="24"/>
          <w:szCs w:val="24"/>
        </w:rPr>
        <w:t xml:space="preserve">I </w:t>
      </w:r>
      <w:r w:rsidR="00C86048" w:rsidRPr="00185309">
        <w:rPr>
          <w:rFonts w:ascii="Times New Roman" w:hAnsi="Times New Roman"/>
          <w:sz w:val="24"/>
          <w:szCs w:val="24"/>
        </w:rPr>
        <w:t>півріччя</w:t>
      </w:r>
      <w:r w:rsidR="007D6987" w:rsidRPr="00185309">
        <w:rPr>
          <w:rFonts w:ascii="Times New Roman" w:hAnsi="Times New Roman"/>
          <w:sz w:val="24"/>
          <w:szCs w:val="24"/>
        </w:rPr>
        <w:t xml:space="preserve"> 2023 року</w:t>
      </w:r>
      <w:r w:rsidR="00727281" w:rsidRPr="00185309">
        <w:rPr>
          <w:rFonts w:ascii="Times New Roman" w:hAnsi="Times New Roman"/>
          <w:sz w:val="24"/>
          <w:szCs w:val="24"/>
        </w:rPr>
        <w:t>)</w:t>
      </w:r>
      <w:r w:rsidRPr="00185309">
        <w:rPr>
          <w:rFonts w:ascii="Times New Roman" w:hAnsi="Times New Roman"/>
          <w:sz w:val="24"/>
          <w:szCs w:val="24"/>
        </w:rPr>
        <w:t>;</w:t>
      </w:r>
    </w:p>
    <w:p w:rsidR="00982654" w:rsidRPr="00185309"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85309">
        <w:rPr>
          <w:rFonts w:ascii="Times New Roman" w:hAnsi="Times New Roman"/>
          <w:sz w:val="24"/>
          <w:szCs w:val="24"/>
        </w:rPr>
        <w:t xml:space="preserve">неподаткові надходження – </w:t>
      </w:r>
      <w:r w:rsidR="00D263BC" w:rsidRPr="00185309">
        <w:rPr>
          <w:rFonts w:ascii="Times New Roman" w:hAnsi="Times New Roman"/>
          <w:sz w:val="24"/>
          <w:szCs w:val="24"/>
        </w:rPr>
        <w:t>54 899,4</w:t>
      </w:r>
      <w:r w:rsidRPr="00185309">
        <w:rPr>
          <w:rFonts w:ascii="Times New Roman" w:hAnsi="Times New Roman"/>
          <w:sz w:val="24"/>
          <w:szCs w:val="24"/>
        </w:rPr>
        <w:t xml:space="preserve"> тис. грн (</w:t>
      </w:r>
      <w:r w:rsidR="00D263BC" w:rsidRPr="00185309">
        <w:rPr>
          <w:rFonts w:ascii="Times New Roman" w:hAnsi="Times New Roman"/>
          <w:sz w:val="24"/>
          <w:szCs w:val="24"/>
        </w:rPr>
        <w:t>78,7</w:t>
      </w:r>
      <w:r w:rsidRPr="00185309">
        <w:rPr>
          <w:rFonts w:ascii="Times New Roman" w:hAnsi="Times New Roman"/>
          <w:sz w:val="24"/>
          <w:szCs w:val="24"/>
        </w:rPr>
        <w:t>% виконання плану);</w:t>
      </w:r>
    </w:p>
    <w:p w:rsidR="00982654" w:rsidRPr="00185309"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85309">
        <w:rPr>
          <w:rFonts w:ascii="Times New Roman" w:hAnsi="Times New Roman"/>
          <w:sz w:val="24"/>
          <w:szCs w:val="24"/>
        </w:rPr>
        <w:t xml:space="preserve">цільові фонди – </w:t>
      </w:r>
      <w:r w:rsidR="00D263BC" w:rsidRPr="00185309">
        <w:rPr>
          <w:rFonts w:ascii="Times New Roman" w:hAnsi="Times New Roman"/>
          <w:sz w:val="24"/>
          <w:szCs w:val="24"/>
        </w:rPr>
        <w:t>1 1</w:t>
      </w:r>
      <w:r w:rsidR="00446468" w:rsidRPr="00185309">
        <w:rPr>
          <w:rFonts w:ascii="Times New Roman" w:hAnsi="Times New Roman"/>
          <w:sz w:val="24"/>
          <w:szCs w:val="24"/>
        </w:rPr>
        <w:t>6</w:t>
      </w:r>
      <w:r w:rsidR="00D263BC" w:rsidRPr="00185309">
        <w:rPr>
          <w:rFonts w:ascii="Times New Roman" w:hAnsi="Times New Roman"/>
          <w:sz w:val="24"/>
          <w:szCs w:val="24"/>
        </w:rPr>
        <w:t>9,1</w:t>
      </w:r>
      <w:r w:rsidRPr="00185309">
        <w:rPr>
          <w:rFonts w:ascii="Times New Roman" w:hAnsi="Times New Roman"/>
          <w:sz w:val="24"/>
          <w:szCs w:val="24"/>
        </w:rPr>
        <w:t xml:space="preserve"> тис. грн (</w:t>
      </w:r>
      <w:r w:rsidR="00D263BC" w:rsidRPr="00185309">
        <w:rPr>
          <w:rFonts w:ascii="Times New Roman" w:hAnsi="Times New Roman"/>
          <w:sz w:val="24"/>
          <w:szCs w:val="24"/>
        </w:rPr>
        <w:t>34,5</w:t>
      </w:r>
      <w:r w:rsidRPr="00185309">
        <w:rPr>
          <w:rFonts w:ascii="Times New Roman" w:hAnsi="Times New Roman"/>
          <w:sz w:val="24"/>
          <w:szCs w:val="24"/>
        </w:rPr>
        <w:t>% від плану</w:t>
      </w:r>
      <w:r w:rsidR="00371AC0" w:rsidRPr="00185309">
        <w:rPr>
          <w:rFonts w:ascii="Times New Roman" w:hAnsi="Times New Roman"/>
          <w:sz w:val="24"/>
          <w:szCs w:val="24"/>
        </w:rPr>
        <w:t xml:space="preserve"> на звітний період</w:t>
      </w:r>
      <w:r w:rsidRPr="00185309">
        <w:rPr>
          <w:rFonts w:ascii="Times New Roman" w:hAnsi="Times New Roman"/>
          <w:sz w:val="24"/>
          <w:szCs w:val="24"/>
        </w:rPr>
        <w:t>);</w:t>
      </w:r>
    </w:p>
    <w:p w:rsidR="00982654" w:rsidRPr="00185309"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85309">
        <w:rPr>
          <w:rFonts w:ascii="Times New Roman" w:hAnsi="Times New Roman"/>
          <w:sz w:val="24"/>
          <w:szCs w:val="24"/>
        </w:rPr>
        <w:t xml:space="preserve">офіційні трансферти – </w:t>
      </w:r>
      <w:r w:rsidR="00D263BC" w:rsidRPr="00185309">
        <w:rPr>
          <w:rFonts w:ascii="Times New Roman" w:hAnsi="Times New Roman"/>
          <w:sz w:val="24"/>
          <w:szCs w:val="24"/>
        </w:rPr>
        <w:t>277 743,5</w:t>
      </w:r>
      <w:r w:rsidRPr="00185309">
        <w:rPr>
          <w:rFonts w:ascii="Times New Roman" w:hAnsi="Times New Roman"/>
          <w:sz w:val="24"/>
          <w:szCs w:val="24"/>
        </w:rPr>
        <w:t xml:space="preserve"> тис. грн (</w:t>
      </w:r>
      <w:r w:rsidR="00D263BC" w:rsidRPr="00185309">
        <w:rPr>
          <w:rFonts w:ascii="Times New Roman" w:hAnsi="Times New Roman"/>
          <w:sz w:val="24"/>
          <w:szCs w:val="24"/>
        </w:rPr>
        <w:t>98,0</w:t>
      </w:r>
      <w:r w:rsidRPr="00185309">
        <w:rPr>
          <w:rFonts w:ascii="Times New Roman" w:hAnsi="Times New Roman"/>
          <w:sz w:val="24"/>
          <w:szCs w:val="24"/>
        </w:rPr>
        <w:t>% виконання уточненого плану),</w:t>
      </w:r>
    </w:p>
    <w:p w:rsidR="00982654" w:rsidRPr="00185309" w:rsidRDefault="00982654" w:rsidP="00E32D3B">
      <w:pPr>
        <w:pStyle w:val="af6"/>
        <w:numPr>
          <w:ilvl w:val="0"/>
          <w:numId w:val="19"/>
        </w:numPr>
        <w:tabs>
          <w:tab w:val="left" w:pos="567"/>
        </w:tabs>
        <w:spacing w:after="0" w:line="240" w:lineRule="auto"/>
        <w:ind w:left="567" w:firstLine="0"/>
        <w:jc w:val="both"/>
        <w:rPr>
          <w:rFonts w:ascii="Times New Roman" w:hAnsi="Times New Roman"/>
          <w:sz w:val="24"/>
          <w:szCs w:val="24"/>
        </w:rPr>
      </w:pPr>
      <w:r w:rsidRPr="00185309">
        <w:rPr>
          <w:rFonts w:ascii="Times New Roman" w:hAnsi="Times New Roman"/>
          <w:sz w:val="24"/>
          <w:szCs w:val="24"/>
        </w:rPr>
        <w:t xml:space="preserve">доходи від операцій з капіталом – </w:t>
      </w:r>
      <w:r w:rsidR="00D263BC" w:rsidRPr="00185309">
        <w:rPr>
          <w:rFonts w:ascii="Times New Roman" w:hAnsi="Times New Roman"/>
          <w:sz w:val="24"/>
          <w:szCs w:val="24"/>
        </w:rPr>
        <w:t>68,0</w:t>
      </w:r>
      <w:r w:rsidRPr="00185309">
        <w:rPr>
          <w:rFonts w:ascii="Times New Roman" w:hAnsi="Times New Roman"/>
          <w:sz w:val="24"/>
          <w:szCs w:val="24"/>
        </w:rPr>
        <w:t xml:space="preserve"> тис. грн (</w:t>
      </w:r>
      <w:r w:rsidR="00223E36" w:rsidRPr="00185309">
        <w:rPr>
          <w:rFonts w:ascii="Times New Roman" w:hAnsi="Times New Roman"/>
          <w:sz w:val="24"/>
          <w:szCs w:val="24"/>
        </w:rPr>
        <w:t>0,</w:t>
      </w:r>
      <w:r w:rsidR="00D263BC" w:rsidRPr="00185309">
        <w:rPr>
          <w:rFonts w:ascii="Times New Roman" w:hAnsi="Times New Roman"/>
          <w:sz w:val="24"/>
          <w:szCs w:val="24"/>
        </w:rPr>
        <w:t>2</w:t>
      </w:r>
      <w:r w:rsidRPr="00185309">
        <w:rPr>
          <w:rFonts w:ascii="Times New Roman" w:hAnsi="Times New Roman"/>
          <w:sz w:val="24"/>
          <w:szCs w:val="24"/>
        </w:rPr>
        <w:t xml:space="preserve">% від плану на </w:t>
      </w:r>
      <w:r w:rsidR="00814F51" w:rsidRPr="00185309">
        <w:rPr>
          <w:rFonts w:ascii="Times New Roman" w:hAnsi="Times New Roman"/>
          <w:sz w:val="24"/>
          <w:szCs w:val="24"/>
        </w:rPr>
        <w:t xml:space="preserve">I </w:t>
      </w:r>
      <w:r w:rsidR="00D263BC" w:rsidRPr="00185309">
        <w:rPr>
          <w:rFonts w:ascii="Times New Roman" w:hAnsi="Times New Roman"/>
          <w:sz w:val="24"/>
          <w:szCs w:val="24"/>
        </w:rPr>
        <w:t>півріччя</w:t>
      </w:r>
      <w:r w:rsidR="00727281" w:rsidRPr="00185309">
        <w:rPr>
          <w:rFonts w:ascii="Times New Roman" w:hAnsi="Times New Roman"/>
          <w:sz w:val="24"/>
          <w:szCs w:val="24"/>
        </w:rPr>
        <w:t xml:space="preserve"> 2023 року</w:t>
      </w:r>
      <w:r w:rsidRPr="00185309">
        <w:rPr>
          <w:rFonts w:ascii="Times New Roman" w:hAnsi="Times New Roman"/>
          <w:sz w:val="24"/>
          <w:szCs w:val="24"/>
        </w:rPr>
        <w:t>).</w:t>
      </w:r>
    </w:p>
    <w:p w:rsidR="00982654" w:rsidRPr="00B65DCB" w:rsidRDefault="00982654" w:rsidP="00982654">
      <w:pPr>
        <w:tabs>
          <w:tab w:val="left" w:pos="1530"/>
          <w:tab w:val="left" w:pos="3210"/>
          <w:tab w:val="center" w:pos="5127"/>
        </w:tabs>
        <w:ind w:firstLine="900"/>
        <w:jc w:val="center"/>
        <w:rPr>
          <w:color w:val="002060"/>
        </w:rPr>
      </w:pPr>
    </w:p>
    <w:p w:rsidR="00982654" w:rsidRPr="00252B78" w:rsidRDefault="00982654" w:rsidP="00982654">
      <w:pPr>
        <w:tabs>
          <w:tab w:val="left" w:pos="1530"/>
          <w:tab w:val="left" w:pos="3210"/>
          <w:tab w:val="center" w:pos="5127"/>
        </w:tabs>
        <w:ind w:firstLine="900"/>
        <w:jc w:val="center"/>
        <w:rPr>
          <w:color w:val="002060"/>
          <w:lang w:val="uk-UA"/>
        </w:rPr>
      </w:pPr>
    </w:p>
    <w:p w:rsidR="00982654" w:rsidRPr="00B1245C"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6174105" cy="4857750"/>
            <wp:effectExtent l="0" t="0" r="1714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82654" w:rsidRPr="00D606AD" w:rsidRDefault="00982654" w:rsidP="00982654">
      <w:pPr>
        <w:tabs>
          <w:tab w:val="left" w:pos="1530"/>
          <w:tab w:val="left" w:pos="3210"/>
          <w:tab w:val="center" w:pos="5127"/>
        </w:tabs>
        <w:ind w:firstLine="900"/>
        <w:jc w:val="both"/>
        <w:rPr>
          <w:lang w:val="uk-UA"/>
        </w:rPr>
      </w:pPr>
    </w:p>
    <w:p w:rsidR="00982654" w:rsidRPr="00D37496" w:rsidRDefault="00982654" w:rsidP="00EA4B1E">
      <w:pPr>
        <w:tabs>
          <w:tab w:val="center" w:pos="567"/>
        </w:tabs>
        <w:ind w:firstLine="567"/>
        <w:jc w:val="both"/>
        <w:rPr>
          <w:lang w:val="uk-UA"/>
        </w:rPr>
      </w:pPr>
      <w:r w:rsidRPr="00D37496">
        <w:rPr>
          <w:lang w:val="uk-UA"/>
        </w:rPr>
        <w:lastRenderedPageBreak/>
        <w:t>Порівняно з аналогічним звітним періодом 202</w:t>
      </w:r>
      <w:r w:rsidR="00431897" w:rsidRPr="00D37496">
        <w:rPr>
          <w:lang w:val="uk-UA"/>
        </w:rPr>
        <w:t>3</w:t>
      </w:r>
      <w:r w:rsidRPr="00D37496">
        <w:rPr>
          <w:lang w:val="uk-UA"/>
        </w:rPr>
        <w:t xml:space="preserve"> року сума доходів громади</w:t>
      </w:r>
      <w:r w:rsidR="000810D9" w:rsidRPr="00D37496">
        <w:t xml:space="preserve"> </w:t>
      </w:r>
      <w:r w:rsidR="000810D9" w:rsidRPr="00D37496">
        <w:rPr>
          <w:lang w:val="uk-UA"/>
        </w:rPr>
        <w:t>в цілому (без врахування трансфертів)</w:t>
      </w:r>
      <w:r w:rsidRPr="00D37496">
        <w:rPr>
          <w:lang w:val="uk-UA"/>
        </w:rPr>
        <w:t xml:space="preserve"> </w:t>
      </w:r>
      <w:r w:rsidR="000D2EA7" w:rsidRPr="00D37496">
        <w:rPr>
          <w:lang w:val="uk-UA"/>
        </w:rPr>
        <w:t>збіль</w:t>
      </w:r>
      <w:r w:rsidRPr="00D37496">
        <w:rPr>
          <w:lang w:val="uk-UA"/>
        </w:rPr>
        <w:t xml:space="preserve">шилась на </w:t>
      </w:r>
      <w:r w:rsidR="00431897" w:rsidRPr="00D37496">
        <w:rPr>
          <w:lang w:val="uk-UA"/>
        </w:rPr>
        <w:t>141 723,9</w:t>
      </w:r>
      <w:r w:rsidRPr="00D37496">
        <w:rPr>
          <w:lang w:val="uk-UA"/>
        </w:rPr>
        <w:t xml:space="preserve"> тис. грн, що </w:t>
      </w:r>
      <w:r w:rsidR="00C70EBD" w:rsidRPr="00D37496">
        <w:rPr>
          <w:lang w:val="uk-UA"/>
        </w:rPr>
        <w:t>у</w:t>
      </w:r>
      <w:r w:rsidRPr="00D37496">
        <w:rPr>
          <w:lang w:val="uk-UA"/>
        </w:rPr>
        <w:t xml:space="preserve"> відсотковому співвідношенні становить </w:t>
      </w:r>
      <w:r w:rsidR="00431897" w:rsidRPr="00D37496">
        <w:rPr>
          <w:lang w:val="uk-UA"/>
        </w:rPr>
        <w:t>167,1</w:t>
      </w:r>
      <w:r w:rsidRPr="00D37496">
        <w:rPr>
          <w:lang w:val="uk-UA"/>
        </w:rPr>
        <w:t xml:space="preserve">%. </w:t>
      </w:r>
    </w:p>
    <w:p w:rsidR="003F30DF" w:rsidRPr="00D37496" w:rsidRDefault="00C70EBD" w:rsidP="00CC3FC6">
      <w:pPr>
        <w:ind w:firstLine="567"/>
        <w:jc w:val="both"/>
        <w:rPr>
          <w:lang w:val="uk-UA"/>
        </w:rPr>
      </w:pPr>
      <w:r w:rsidRPr="00D37496">
        <w:rPr>
          <w:lang w:val="uk-UA"/>
        </w:rPr>
        <w:t xml:space="preserve">Підприємства </w:t>
      </w:r>
      <w:r w:rsidR="004F0C41" w:rsidRPr="00D37496">
        <w:rPr>
          <w:lang w:val="uk-UA"/>
        </w:rPr>
        <w:t xml:space="preserve">Бучанської міської територіальної </w:t>
      </w:r>
      <w:r w:rsidRPr="00D37496">
        <w:rPr>
          <w:lang w:val="uk-UA"/>
        </w:rPr>
        <w:t xml:space="preserve">громади поступово відновлюються після руйнувань, спричинених вторгненням </w:t>
      </w:r>
      <w:r w:rsidR="004F0C41" w:rsidRPr="00D37496">
        <w:rPr>
          <w:lang w:val="uk-UA"/>
        </w:rPr>
        <w:t>на територію громади</w:t>
      </w:r>
      <w:r w:rsidRPr="00D37496">
        <w:rPr>
          <w:lang w:val="uk-UA"/>
        </w:rPr>
        <w:t xml:space="preserve"> військ російської федерації, </w:t>
      </w:r>
      <w:r w:rsidR="004F0C41" w:rsidRPr="00D37496">
        <w:rPr>
          <w:lang w:val="uk-UA"/>
        </w:rPr>
        <w:t>у</w:t>
      </w:r>
      <w:r w:rsidRPr="00D37496">
        <w:rPr>
          <w:lang w:val="uk-UA"/>
        </w:rPr>
        <w:t xml:space="preserve"> люто</w:t>
      </w:r>
      <w:r w:rsidR="004F0C41" w:rsidRPr="00D37496">
        <w:rPr>
          <w:lang w:val="uk-UA"/>
        </w:rPr>
        <w:t>му</w:t>
      </w:r>
      <w:r w:rsidRPr="00D37496">
        <w:rPr>
          <w:lang w:val="uk-UA"/>
        </w:rPr>
        <w:t xml:space="preserve"> 2022 року, та незважаючи на продовження війни на території України, </w:t>
      </w:r>
      <w:r w:rsidR="004F0C41" w:rsidRPr="00D37496">
        <w:rPr>
          <w:lang w:val="uk-UA"/>
        </w:rPr>
        <w:t>працюють та сплачують податки до бюджету.</w:t>
      </w:r>
      <w:r w:rsidRPr="00D37496">
        <w:rPr>
          <w:lang w:val="uk-UA"/>
        </w:rPr>
        <w:t xml:space="preserve"> </w:t>
      </w:r>
    </w:p>
    <w:p w:rsidR="00234A99" w:rsidRPr="00D37496" w:rsidRDefault="00416FA3" w:rsidP="00CC3FC6">
      <w:pPr>
        <w:ind w:firstLine="567"/>
        <w:jc w:val="both"/>
        <w:rPr>
          <w:lang w:val="uk-UA"/>
        </w:rPr>
      </w:pPr>
      <w:r w:rsidRPr="00D37496">
        <w:rPr>
          <w:lang w:val="uk-UA"/>
        </w:rPr>
        <w:t xml:space="preserve">Враховуючи, що показники надходжень до бюджету громади </w:t>
      </w:r>
      <w:r w:rsidR="004F0C41" w:rsidRPr="00D37496">
        <w:rPr>
          <w:lang w:val="uk-UA"/>
        </w:rPr>
        <w:t xml:space="preserve">у довоєнному періоді </w:t>
      </w:r>
      <w:r w:rsidRPr="00D37496">
        <w:rPr>
          <w:lang w:val="uk-UA"/>
        </w:rPr>
        <w:t xml:space="preserve"> </w:t>
      </w:r>
      <w:r w:rsidR="00150FC1" w:rsidRPr="00D37496">
        <w:rPr>
          <w:lang w:val="uk-UA"/>
        </w:rPr>
        <w:t xml:space="preserve">відображали реальну картину наповнення бюджету </w:t>
      </w:r>
      <w:r w:rsidR="004D11E5" w:rsidRPr="00D37496">
        <w:rPr>
          <w:lang w:val="uk-UA"/>
        </w:rPr>
        <w:t>мирного часу</w:t>
      </w:r>
      <w:r w:rsidRPr="00D37496">
        <w:rPr>
          <w:lang w:val="uk-UA"/>
        </w:rPr>
        <w:t xml:space="preserve">, </w:t>
      </w:r>
      <w:r w:rsidR="004F0C41" w:rsidRPr="00D37496">
        <w:rPr>
          <w:lang w:val="uk-UA"/>
        </w:rPr>
        <w:t>п</w:t>
      </w:r>
      <w:r w:rsidRPr="00D37496">
        <w:rPr>
          <w:lang w:val="uk-UA"/>
        </w:rPr>
        <w:t xml:space="preserve">ри порівнянні надходжень до бюджету за період </w:t>
      </w:r>
      <w:r w:rsidR="004F0C41" w:rsidRPr="00D37496">
        <w:rPr>
          <w:lang w:val="uk-UA"/>
        </w:rPr>
        <w:t>січень-лютий</w:t>
      </w:r>
      <w:r w:rsidRPr="00D37496">
        <w:rPr>
          <w:lang w:val="uk-UA"/>
        </w:rPr>
        <w:t xml:space="preserve"> 202</w:t>
      </w:r>
      <w:r w:rsidR="00B24E6B" w:rsidRPr="00D37496">
        <w:rPr>
          <w:lang w:val="uk-UA"/>
        </w:rPr>
        <w:t>2</w:t>
      </w:r>
      <w:r w:rsidRPr="00D37496">
        <w:rPr>
          <w:lang w:val="uk-UA"/>
        </w:rPr>
        <w:t xml:space="preserve"> року з аналогічним періодом 202</w:t>
      </w:r>
      <w:r w:rsidR="00B24E6B" w:rsidRPr="00D37496">
        <w:rPr>
          <w:lang w:val="uk-UA"/>
        </w:rPr>
        <w:t>3</w:t>
      </w:r>
      <w:r w:rsidRPr="00D37496">
        <w:rPr>
          <w:lang w:val="uk-UA"/>
        </w:rPr>
        <w:t xml:space="preserve"> року можемо </w:t>
      </w:r>
      <w:r w:rsidR="00150FC1" w:rsidRPr="00D37496">
        <w:rPr>
          <w:lang w:val="uk-UA"/>
        </w:rPr>
        <w:t xml:space="preserve">навіть </w:t>
      </w:r>
      <w:r w:rsidRPr="00D37496">
        <w:rPr>
          <w:lang w:val="uk-UA"/>
        </w:rPr>
        <w:t>спостерігати з</w:t>
      </w:r>
      <w:r w:rsidR="00150FC1" w:rsidRPr="00D37496">
        <w:rPr>
          <w:lang w:val="uk-UA"/>
        </w:rPr>
        <w:t>більшення</w:t>
      </w:r>
      <w:r w:rsidRPr="00D37496">
        <w:rPr>
          <w:lang w:val="uk-UA"/>
        </w:rPr>
        <w:t xml:space="preserve"> надходжень до загального та спеціального фондів бюджету Бучанської міської територіальної громади (без врахування трансфертів) </w:t>
      </w:r>
      <w:r w:rsidR="00B24E6B" w:rsidRPr="00D37496">
        <w:rPr>
          <w:lang w:val="uk-UA"/>
        </w:rPr>
        <w:t xml:space="preserve">у перші два місяці поточного року </w:t>
      </w:r>
      <w:r w:rsidRPr="00D37496">
        <w:rPr>
          <w:lang w:val="uk-UA"/>
        </w:rPr>
        <w:t xml:space="preserve">на суму </w:t>
      </w:r>
      <w:r w:rsidR="00150FC1" w:rsidRPr="00D37496">
        <w:rPr>
          <w:lang w:val="uk-UA"/>
        </w:rPr>
        <w:t>38 138,1</w:t>
      </w:r>
      <w:r w:rsidRPr="00D37496">
        <w:rPr>
          <w:lang w:val="uk-UA"/>
        </w:rPr>
        <w:t xml:space="preserve"> тис. грн, що становить </w:t>
      </w:r>
      <w:r w:rsidR="00150FC1" w:rsidRPr="00D37496">
        <w:rPr>
          <w:lang w:val="uk-UA"/>
        </w:rPr>
        <w:t>139</w:t>
      </w:r>
      <w:r w:rsidR="00234A99" w:rsidRPr="00D37496">
        <w:rPr>
          <w:lang w:val="uk-UA"/>
        </w:rPr>
        <w:t xml:space="preserve"> % від надходжень за </w:t>
      </w:r>
      <w:r w:rsidR="00B24E6B" w:rsidRPr="00D37496">
        <w:rPr>
          <w:lang w:val="uk-UA"/>
        </w:rPr>
        <w:t>січень-лютий</w:t>
      </w:r>
      <w:r w:rsidR="00234A99" w:rsidRPr="00D37496">
        <w:rPr>
          <w:lang w:val="uk-UA"/>
        </w:rPr>
        <w:t xml:space="preserve"> </w:t>
      </w:r>
      <w:r w:rsidR="00150FC1" w:rsidRPr="00D37496">
        <w:rPr>
          <w:lang w:val="uk-UA"/>
        </w:rPr>
        <w:t xml:space="preserve"> 2022 року</w:t>
      </w:r>
      <w:r w:rsidRPr="00D37496">
        <w:rPr>
          <w:lang w:val="uk-UA"/>
        </w:rPr>
        <w:t xml:space="preserve">. </w:t>
      </w:r>
    </w:p>
    <w:p w:rsidR="00234A99" w:rsidRPr="00D37496" w:rsidRDefault="004D11E5" w:rsidP="00CC3FC6">
      <w:pPr>
        <w:ind w:firstLine="567"/>
        <w:jc w:val="both"/>
        <w:rPr>
          <w:lang w:val="uk-UA"/>
        </w:rPr>
      </w:pPr>
      <w:r w:rsidRPr="00D37496">
        <w:rPr>
          <w:lang w:val="uk-UA"/>
        </w:rPr>
        <w:t>Основними чинниками збільшення</w:t>
      </w:r>
      <w:r w:rsidR="00234A99" w:rsidRPr="00D37496">
        <w:rPr>
          <w:lang w:val="uk-UA"/>
        </w:rPr>
        <w:t xml:space="preserve"> </w:t>
      </w:r>
      <w:r w:rsidRPr="00D37496">
        <w:rPr>
          <w:lang w:val="uk-UA"/>
        </w:rPr>
        <w:t>доходів</w:t>
      </w:r>
      <w:r w:rsidR="00234A99" w:rsidRPr="00D37496">
        <w:rPr>
          <w:lang w:val="uk-UA"/>
        </w:rPr>
        <w:t xml:space="preserve"> є:</w:t>
      </w:r>
    </w:p>
    <w:p w:rsidR="00234A99" w:rsidRPr="00D37496" w:rsidRDefault="00234A99" w:rsidP="00416FA3">
      <w:pPr>
        <w:ind w:firstLine="709"/>
        <w:jc w:val="both"/>
        <w:rPr>
          <w:lang w:val="uk-UA"/>
        </w:rPr>
      </w:pPr>
      <w:r w:rsidRPr="00D37496">
        <w:rPr>
          <w:lang w:val="uk-UA"/>
        </w:rPr>
        <w:t>-</w:t>
      </w:r>
      <w:r w:rsidR="004D11E5" w:rsidRPr="00D37496">
        <w:rPr>
          <w:lang w:val="uk-UA"/>
        </w:rPr>
        <w:t xml:space="preserve"> </w:t>
      </w:r>
      <w:r w:rsidR="00212F07" w:rsidRPr="00D37496">
        <w:rPr>
          <w:lang w:val="uk-UA"/>
        </w:rPr>
        <w:t xml:space="preserve">по </w:t>
      </w:r>
      <w:r w:rsidR="004D11E5" w:rsidRPr="00D37496">
        <w:rPr>
          <w:lang w:val="uk-UA"/>
        </w:rPr>
        <w:t>загальн</w:t>
      </w:r>
      <w:r w:rsidR="00212F07" w:rsidRPr="00D37496">
        <w:rPr>
          <w:lang w:val="uk-UA"/>
        </w:rPr>
        <w:t>ому</w:t>
      </w:r>
      <w:r w:rsidR="004D11E5" w:rsidRPr="00D37496">
        <w:rPr>
          <w:lang w:val="uk-UA"/>
        </w:rPr>
        <w:t xml:space="preserve"> фонду бюджету </w:t>
      </w:r>
      <w:r w:rsidRPr="00D37496">
        <w:rPr>
          <w:lang w:val="uk-UA"/>
        </w:rPr>
        <w:t>-</w:t>
      </w:r>
      <w:r w:rsidR="004D11E5" w:rsidRPr="00D37496">
        <w:rPr>
          <w:lang w:val="uk-UA"/>
        </w:rPr>
        <w:t xml:space="preserve"> надходження коштів від податку на доходи фізичних осіб з грошового забезпечення військовослужбовців</w:t>
      </w:r>
      <w:r w:rsidR="00431897" w:rsidRPr="00D37496">
        <w:rPr>
          <w:lang w:val="uk-UA"/>
        </w:rPr>
        <w:t xml:space="preserve"> військових частин, що базуються на території громади. Але слід зазначити, що </w:t>
      </w:r>
      <w:r w:rsidR="00185309" w:rsidRPr="00D37496">
        <w:rPr>
          <w:lang w:val="uk-UA"/>
        </w:rPr>
        <w:t>даний</w:t>
      </w:r>
      <w:r w:rsidR="00431897" w:rsidRPr="00D37496">
        <w:rPr>
          <w:lang w:val="uk-UA"/>
        </w:rPr>
        <w:t xml:space="preserve"> вид надходжень не є стабільним та прогнозованим, адже дислокація військових </w:t>
      </w:r>
      <w:r w:rsidR="00185309" w:rsidRPr="00D37496">
        <w:rPr>
          <w:lang w:val="uk-UA"/>
        </w:rPr>
        <w:t xml:space="preserve">частин </w:t>
      </w:r>
      <w:r w:rsidR="00431897" w:rsidRPr="00D37496">
        <w:rPr>
          <w:lang w:val="uk-UA"/>
        </w:rPr>
        <w:t>має специфічний характер</w:t>
      </w:r>
      <w:r w:rsidRPr="00D37496">
        <w:rPr>
          <w:lang w:val="uk-UA"/>
        </w:rPr>
        <w:t>;</w:t>
      </w:r>
    </w:p>
    <w:p w:rsidR="00416FA3" w:rsidRPr="00D37496" w:rsidRDefault="00234A99" w:rsidP="00416FA3">
      <w:pPr>
        <w:ind w:firstLine="709"/>
        <w:jc w:val="both"/>
        <w:rPr>
          <w:lang w:val="uk-UA"/>
        </w:rPr>
      </w:pPr>
      <w:r w:rsidRPr="00D37496">
        <w:rPr>
          <w:lang w:val="uk-UA"/>
        </w:rPr>
        <w:t xml:space="preserve">- по спеціальному фонду - </w:t>
      </w:r>
      <w:r w:rsidR="004D11E5" w:rsidRPr="00D37496">
        <w:rPr>
          <w:lang w:val="uk-UA"/>
        </w:rPr>
        <w:t>зарахування до бюджету громади</w:t>
      </w:r>
      <w:r w:rsidR="00212F07" w:rsidRPr="00D37496">
        <w:rPr>
          <w:lang w:val="uk-UA"/>
        </w:rPr>
        <w:t>,</w:t>
      </w:r>
      <w:r w:rsidR="004D11E5" w:rsidRPr="00D37496">
        <w:rPr>
          <w:lang w:val="uk-UA"/>
        </w:rPr>
        <w:t xml:space="preserve"> </w:t>
      </w:r>
      <w:r w:rsidR="00212F07" w:rsidRPr="00D37496">
        <w:rPr>
          <w:lang w:val="uk-UA"/>
        </w:rPr>
        <w:t>отриманої бюджетними установами, благодійної допомоги</w:t>
      </w:r>
      <w:r w:rsidR="004D11E5" w:rsidRPr="00D37496">
        <w:rPr>
          <w:lang w:val="uk-UA"/>
        </w:rPr>
        <w:t xml:space="preserve"> в натуральній формі</w:t>
      </w:r>
      <w:r w:rsidR="00212F07" w:rsidRPr="00D37496">
        <w:rPr>
          <w:lang w:val="uk-UA"/>
        </w:rPr>
        <w:t>.</w:t>
      </w:r>
      <w:r w:rsidR="004D11E5" w:rsidRPr="00D37496">
        <w:rPr>
          <w:lang w:val="uk-UA"/>
        </w:rPr>
        <w:t xml:space="preserve"> </w:t>
      </w:r>
    </w:p>
    <w:p w:rsidR="00982654" w:rsidRPr="00B65DCB" w:rsidRDefault="00982654" w:rsidP="00982654">
      <w:pPr>
        <w:tabs>
          <w:tab w:val="left" w:pos="1530"/>
          <w:tab w:val="left" w:pos="3210"/>
          <w:tab w:val="center" w:pos="5127"/>
        </w:tabs>
        <w:ind w:firstLine="900"/>
        <w:jc w:val="center"/>
        <w:rPr>
          <w:b/>
          <w:color w:val="7030A0"/>
        </w:rPr>
      </w:pPr>
    </w:p>
    <w:p w:rsidR="00982654" w:rsidRPr="006D100A" w:rsidRDefault="00982654" w:rsidP="00982654">
      <w:pPr>
        <w:tabs>
          <w:tab w:val="left" w:pos="1530"/>
          <w:tab w:val="left" w:pos="3210"/>
          <w:tab w:val="center" w:pos="5127"/>
        </w:tabs>
        <w:ind w:firstLine="900"/>
        <w:jc w:val="center"/>
        <w:rPr>
          <w:b/>
          <w:lang w:val="uk-UA"/>
        </w:rPr>
      </w:pPr>
    </w:p>
    <w:p w:rsidR="00982654" w:rsidRPr="007F3534" w:rsidRDefault="00982654" w:rsidP="00982654">
      <w:pPr>
        <w:tabs>
          <w:tab w:val="left" w:pos="1530"/>
          <w:tab w:val="left" w:pos="3210"/>
          <w:tab w:val="center" w:pos="5127"/>
        </w:tabs>
        <w:ind w:firstLine="900"/>
        <w:jc w:val="center"/>
        <w:rPr>
          <w:b/>
          <w:i/>
          <w:lang w:val="uk-UA"/>
        </w:rPr>
      </w:pPr>
      <w:r w:rsidRPr="007F3534">
        <w:rPr>
          <w:b/>
          <w:i/>
          <w:lang w:val="uk-UA"/>
        </w:rPr>
        <w:t>ЗАГАЛЬНИЙ ФОНД</w:t>
      </w:r>
    </w:p>
    <w:p w:rsidR="00982654" w:rsidRPr="007F3534" w:rsidRDefault="00982654" w:rsidP="00982654">
      <w:pPr>
        <w:tabs>
          <w:tab w:val="left" w:pos="1530"/>
          <w:tab w:val="left" w:pos="3210"/>
          <w:tab w:val="center" w:pos="5127"/>
        </w:tabs>
        <w:ind w:firstLine="900"/>
        <w:jc w:val="center"/>
        <w:rPr>
          <w:b/>
          <w:lang w:val="uk-UA"/>
        </w:rPr>
      </w:pPr>
    </w:p>
    <w:p w:rsidR="00982654" w:rsidRPr="007F3534" w:rsidRDefault="00982654" w:rsidP="00EA4B1E">
      <w:pPr>
        <w:ind w:firstLine="567"/>
        <w:jc w:val="both"/>
        <w:rPr>
          <w:lang w:val="uk-UA"/>
        </w:rPr>
      </w:pPr>
      <w:r w:rsidRPr="007F3534">
        <w:rPr>
          <w:lang w:val="uk-UA"/>
        </w:rPr>
        <w:t xml:space="preserve">Бюджет Бучанської міської територіальної громади за </w:t>
      </w:r>
      <w:r w:rsidR="00814F51" w:rsidRPr="007F3534">
        <w:rPr>
          <w:lang w:val="uk-UA"/>
        </w:rPr>
        <w:t xml:space="preserve">I </w:t>
      </w:r>
      <w:r w:rsidR="00B94CB4" w:rsidRPr="007F3534">
        <w:rPr>
          <w:lang w:val="uk-UA"/>
        </w:rPr>
        <w:t>півріччя</w:t>
      </w:r>
      <w:r w:rsidR="008502D5" w:rsidRPr="007F3534">
        <w:rPr>
          <w:lang w:val="uk-UA"/>
        </w:rPr>
        <w:t xml:space="preserve"> 2023 року </w:t>
      </w:r>
      <w:r w:rsidRPr="007F3534">
        <w:rPr>
          <w:lang w:val="uk-UA"/>
        </w:rPr>
        <w:t xml:space="preserve">по доходах загального фонду (без врахування  офіційних трансфертів) виконано на </w:t>
      </w:r>
      <w:r w:rsidR="00B94CB4" w:rsidRPr="007F3534">
        <w:rPr>
          <w:lang w:val="uk-UA"/>
        </w:rPr>
        <w:t>100,4</w:t>
      </w:r>
      <w:r w:rsidRPr="007F3534">
        <w:rPr>
          <w:lang w:val="uk-UA"/>
        </w:rPr>
        <w:t xml:space="preserve">% та становить </w:t>
      </w:r>
      <w:r w:rsidR="00B94CB4" w:rsidRPr="007F3534">
        <w:rPr>
          <w:lang w:val="uk-UA"/>
        </w:rPr>
        <w:t>301 301,3</w:t>
      </w:r>
      <w:r w:rsidRPr="007F3534">
        <w:rPr>
          <w:lang w:val="uk-UA"/>
        </w:rPr>
        <w:t xml:space="preserve"> тис. грн, що на </w:t>
      </w:r>
      <w:r w:rsidR="00B94CB4" w:rsidRPr="007F3534">
        <w:rPr>
          <w:lang w:val="uk-UA"/>
        </w:rPr>
        <w:t>95 139,9</w:t>
      </w:r>
      <w:r w:rsidR="00B87C6E" w:rsidRPr="007F3534">
        <w:rPr>
          <w:lang w:val="uk-UA"/>
        </w:rPr>
        <w:t xml:space="preserve"> тис. грн </w:t>
      </w:r>
      <w:r w:rsidR="008502D5" w:rsidRPr="007F3534">
        <w:rPr>
          <w:lang w:val="uk-UA"/>
        </w:rPr>
        <w:t>біль</w:t>
      </w:r>
      <w:r w:rsidRPr="007F3534">
        <w:rPr>
          <w:lang w:val="uk-UA"/>
        </w:rPr>
        <w:t xml:space="preserve">ше проти фактичного виконання за </w:t>
      </w:r>
      <w:r w:rsidR="00814F51" w:rsidRPr="007F3534">
        <w:rPr>
          <w:lang w:val="uk-UA"/>
        </w:rPr>
        <w:t>I</w:t>
      </w:r>
      <w:r w:rsidR="008502D5" w:rsidRPr="007F3534">
        <w:rPr>
          <w:lang w:val="uk-UA"/>
        </w:rPr>
        <w:t xml:space="preserve"> </w:t>
      </w:r>
      <w:r w:rsidR="00B94CB4" w:rsidRPr="007F3534">
        <w:rPr>
          <w:lang w:val="uk-UA"/>
        </w:rPr>
        <w:t>півріччя</w:t>
      </w:r>
      <w:r w:rsidR="008502D5" w:rsidRPr="007F3534">
        <w:rPr>
          <w:lang w:val="uk-UA"/>
        </w:rPr>
        <w:t xml:space="preserve"> </w:t>
      </w:r>
      <w:r w:rsidRPr="007F3534">
        <w:rPr>
          <w:lang w:val="uk-UA"/>
        </w:rPr>
        <w:t>202</w:t>
      </w:r>
      <w:r w:rsidR="008502D5" w:rsidRPr="007F3534">
        <w:rPr>
          <w:lang w:val="uk-UA"/>
        </w:rPr>
        <w:t>2</w:t>
      </w:r>
      <w:r w:rsidRPr="007F3534">
        <w:rPr>
          <w:lang w:val="uk-UA"/>
        </w:rPr>
        <w:t xml:space="preserve"> р</w:t>
      </w:r>
      <w:r w:rsidR="0076120C" w:rsidRPr="007F3534">
        <w:rPr>
          <w:lang w:val="uk-UA"/>
        </w:rPr>
        <w:t>оку</w:t>
      </w:r>
      <w:r w:rsidRPr="007F3534">
        <w:rPr>
          <w:lang w:val="uk-UA"/>
        </w:rPr>
        <w:t xml:space="preserve">. Темп росту, в порівнянні з відповідним періодом минулого року складає </w:t>
      </w:r>
      <w:r w:rsidR="00B94CB4" w:rsidRPr="007F3534">
        <w:rPr>
          <w:lang w:val="uk-UA"/>
        </w:rPr>
        <w:t>146,1</w:t>
      </w:r>
      <w:r w:rsidRPr="007F3534">
        <w:rPr>
          <w:lang w:val="uk-UA"/>
        </w:rPr>
        <w:t xml:space="preserve">%. </w:t>
      </w:r>
    </w:p>
    <w:p w:rsidR="00982654" w:rsidRPr="007F3534" w:rsidRDefault="00522CFC" w:rsidP="00EA4B1E">
      <w:pPr>
        <w:ind w:firstLine="567"/>
        <w:jc w:val="both"/>
        <w:rPr>
          <w:lang w:val="uk-UA"/>
        </w:rPr>
      </w:pPr>
      <w:r w:rsidRPr="007F3534">
        <w:rPr>
          <w:lang w:val="uk-UA"/>
        </w:rPr>
        <w:t>П</w:t>
      </w:r>
      <w:r w:rsidR="00982654" w:rsidRPr="007F3534">
        <w:t xml:space="preserve">лан по доходах </w:t>
      </w:r>
      <w:r w:rsidR="00982654" w:rsidRPr="007F3534">
        <w:rPr>
          <w:lang w:val="uk-UA"/>
        </w:rPr>
        <w:t xml:space="preserve">загального фонду </w:t>
      </w:r>
      <w:r w:rsidR="00982654" w:rsidRPr="007F3534">
        <w:t>на</w:t>
      </w:r>
      <w:r w:rsidR="00982654" w:rsidRPr="007F3534">
        <w:rPr>
          <w:lang w:val="uk-UA"/>
        </w:rPr>
        <w:t xml:space="preserve"> </w:t>
      </w:r>
      <w:r w:rsidR="00814F51" w:rsidRPr="007F3534">
        <w:rPr>
          <w:lang w:val="uk-UA"/>
        </w:rPr>
        <w:t xml:space="preserve">I </w:t>
      </w:r>
      <w:r w:rsidR="00B94CB4" w:rsidRPr="007F3534">
        <w:rPr>
          <w:lang w:val="uk-UA"/>
        </w:rPr>
        <w:t>півріччя</w:t>
      </w:r>
      <w:r w:rsidR="00220918" w:rsidRPr="007F3534">
        <w:rPr>
          <w:lang w:val="uk-UA"/>
        </w:rPr>
        <w:t xml:space="preserve"> 2023 року </w:t>
      </w:r>
      <w:r w:rsidR="00982654" w:rsidRPr="007F3534">
        <w:rPr>
          <w:lang w:val="uk-UA"/>
        </w:rPr>
        <w:t>(без врахування офіційних трансфертів)</w:t>
      </w:r>
      <w:r w:rsidR="00982654" w:rsidRPr="007F3534">
        <w:t xml:space="preserve"> – </w:t>
      </w:r>
      <w:r w:rsidR="00B94CB4" w:rsidRPr="007F3534">
        <w:rPr>
          <w:lang w:val="uk-UA"/>
        </w:rPr>
        <w:t>299 965,6</w:t>
      </w:r>
      <w:r w:rsidR="007F3534" w:rsidRPr="007F3534">
        <w:t xml:space="preserve"> тис. грн,</w:t>
      </w:r>
      <w:r w:rsidR="007F3534" w:rsidRPr="007F3534">
        <w:rPr>
          <w:lang w:val="uk-UA"/>
        </w:rPr>
        <w:t xml:space="preserve"> </w:t>
      </w:r>
      <w:r w:rsidR="00982654" w:rsidRPr="007F3534">
        <w:rPr>
          <w:lang w:val="uk-UA"/>
        </w:rPr>
        <w:t xml:space="preserve">фактично </w:t>
      </w:r>
      <w:r w:rsidR="00982654" w:rsidRPr="007F3534">
        <w:t xml:space="preserve">надійшло – </w:t>
      </w:r>
      <w:r w:rsidR="00B94CB4" w:rsidRPr="007F3534">
        <w:rPr>
          <w:lang w:val="uk-UA"/>
        </w:rPr>
        <w:t>301 301,3</w:t>
      </w:r>
      <w:r w:rsidR="00982654" w:rsidRPr="007F3534">
        <w:rPr>
          <w:lang w:val="uk-UA"/>
        </w:rPr>
        <w:t xml:space="preserve"> </w:t>
      </w:r>
      <w:r w:rsidR="00982654" w:rsidRPr="007F3534">
        <w:t xml:space="preserve">тис. грн, </w:t>
      </w:r>
      <w:r w:rsidRPr="007F3534">
        <w:rPr>
          <w:lang w:val="uk-UA"/>
        </w:rPr>
        <w:t xml:space="preserve">перевиконання становить </w:t>
      </w:r>
      <w:r w:rsidR="00982654" w:rsidRPr="007F3534">
        <w:t xml:space="preserve"> </w:t>
      </w:r>
      <w:r w:rsidR="00B94CB4" w:rsidRPr="007F3534">
        <w:rPr>
          <w:lang w:val="uk-UA"/>
        </w:rPr>
        <w:t>1 335,7</w:t>
      </w:r>
      <w:r w:rsidRPr="007F3534">
        <w:t xml:space="preserve"> тис. грн.</w:t>
      </w:r>
      <w:r w:rsidR="00982654" w:rsidRPr="007F3534">
        <w:rPr>
          <w:lang w:val="uk-UA"/>
        </w:rPr>
        <w:t xml:space="preserve"> </w:t>
      </w:r>
    </w:p>
    <w:p w:rsidR="00982654" w:rsidRPr="007F3534" w:rsidRDefault="00982654" w:rsidP="00EA4B1E">
      <w:pPr>
        <w:ind w:firstLine="567"/>
        <w:jc w:val="both"/>
        <w:rPr>
          <w:lang w:val="uk-UA"/>
        </w:rPr>
      </w:pPr>
      <w:r w:rsidRPr="007F3534">
        <w:rPr>
          <w:lang w:val="uk-UA"/>
        </w:rPr>
        <w:t>В</w:t>
      </w:r>
      <w:r w:rsidRPr="007F3534">
        <w:t xml:space="preserve"> тому числі</w:t>
      </w:r>
      <w:r w:rsidRPr="007F3534">
        <w:rPr>
          <w:lang w:val="uk-UA"/>
        </w:rPr>
        <w:t xml:space="preserve"> надійшло</w:t>
      </w:r>
      <w:r w:rsidRPr="007F3534">
        <w:t xml:space="preserve">: </w:t>
      </w:r>
    </w:p>
    <w:p w:rsidR="00982654" w:rsidRPr="007F3534" w:rsidRDefault="00982654" w:rsidP="00EA4B1E">
      <w:pPr>
        <w:pStyle w:val="a4"/>
        <w:shd w:val="clear" w:color="auto" w:fill="FFFFFF" w:themeFill="background1"/>
        <w:ind w:left="0" w:right="-2" w:firstLine="567"/>
        <w:jc w:val="both"/>
        <w:rPr>
          <w:shd w:val="clear" w:color="auto" w:fill="FFFFFF" w:themeFill="background1"/>
        </w:rPr>
      </w:pPr>
      <w:r w:rsidRPr="007F3534">
        <w:t xml:space="preserve">- </w:t>
      </w:r>
      <w:r w:rsidR="00CE23CD" w:rsidRPr="007F3534">
        <w:rPr>
          <w:lang w:val="uk-UA"/>
        </w:rPr>
        <w:t>176 355,1</w:t>
      </w:r>
      <w:r w:rsidRPr="007F3534">
        <w:t xml:space="preserve"> тис. грн податку та збору на доходи фізичних осіб, що становить </w:t>
      </w:r>
      <w:r w:rsidR="00CE23CD" w:rsidRPr="007F3534">
        <w:rPr>
          <w:lang w:val="uk-UA"/>
        </w:rPr>
        <w:t>85,6</w:t>
      </w:r>
      <w:r w:rsidRPr="007F3534">
        <w:t xml:space="preserve">% </w:t>
      </w:r>
      <w:r w:rsidR="00072D7E" w:rsidRPr="007F3534">
        <w:rPr>
          <w:lang w:val="uk-UA"/>
        </w:rPr>
        <w:t>від</w:t>
      </w:r>
      <w:r w:rsidRPr="007F3534">
        <w:t xml:space="preserve"> плану на </w:t>
      </w:r>
      <w:r w:rsidR="009922BC" w:rsidRPr="007F3534">
        <w:rPr>
          <w:lang w:val="uk-UA"/>
        </w:rPr>
        <w:t>звітний період</w:t>
      </w:r>
      <w:r w:rsidRPr="007F3534">
        <w:t>;</w:t>
      </w:r>
    </w:p>
    <w:p w:rsidR="00982654" w:rsidRPr="007F3534" w:rsidRDefault="00982654" w:rsidP="00EA4B1E">
      <w:pPr>
        <w:pStyle w:val="a4"/>
        <w:shd w:val="clear" w:color="auto" w:fill="FFFFFF" w:themeFill="background1"/>
        <w:ind w:left="0" w:right="-2" w:firstLine="567"/>
        <w:jc w:val="both"/>
        <w:rPr>
          <w:shd w:val="clear" w:color="auto" w:fill="FFFFFF" w:themeFill="background1"/>
        </w:rPr>
      </w:pPr>
      <w:r w:rsidRPr="007F3534">
        <w:t xml:space="preserve">- </w:t>
      </w:r>
      <w:r w:rsidR="00CE23CD" w:rsidRPr="007F3534">
        <w:rPr>
          <w:lang w:val="uk-UA"/>
        </w:rPr>
        <w:t>52 128,2</w:t>
      </w:r>
      <w:r w:rsidRPr="007F3534">
        <w:t xml:space="preserve"> тис. грн єдиного податку  - </w:t>
      </w:r>
      <w:r w:rsidR="00CE23CD" w:rsidRPr="007F3534">
        <w:rPr>
          <w:lang w:val="uk-UA"/>
        </w:rPr>
        <w:t>113,5</w:t>
      </w:r>
      <w:r w:rsidRPr="007F3534">
        <w:t>% виконання плану</w:t>
      </w:r>
      <w:r w:rsidRPr="007F3534">
        <w:rPr>
          <w:shd w:val="clear" w:color="auto" w:fill="FFFFFF" w:themeFill="background1"/>
        </w:rPr>
        <w:t>;</w:t>
      </w:r>
    </w:p>
    <w:p w:rsidR="00982654" w:rsidRPr="007F3534" w:rsidRDefault="00982654" w:rsidP="00EA4B1E">
      <w:pPr>
        <w:pStyle w:val="a4"/>
        <w:shd w:val="clear" w:color="auto" w:fill="FFFFFF" w:themeFill="background1"/>
        <w:ind w:left="0" w:right="-2" w:firstLine="567"/>
        <w:jc w:val="both"/>
      </w:pPr>
      <w:r w:rsidRPr="007F3534">
        <w:t xml:space="preserve">- </w:t>
      </w:r>
      <w:r w:rsidR="00CE23CD" w:rsidRPr="007F3534">
        <w:rPr>
          <w:lang w:val="uk-UA"/>
        </w:rPr>
        <w:t>38 520,0</w:t>
      </w:r>
      <w:r w:rsidRPr="007F3534">
        <w:t xml:space="preserve"> тис. грн податку на майно – </w:t>
      </w:r>
      <w:r w:rsidR="00CE23CD" w:rsidRPr="007F3534">
        <w:rPr>
          <w:lang w:val="uk-UA"/>
        </w:rPr>
        <w:t>171,2</w:t>
      </w:r>
      <w:r w:rsidRPr="007F3534">
        <w:t>% виконання плану;</w:t>
      </w:r>
    </w:p>
    <w:p w:rsidR="00982654" w:rsidRPr="007F3534" w:rsidRDefault="00982654" w:rsidP="00EA4B1E">
      <w:pPr>
        <w:pStyle w:val="a4"/>
        <w:shd w:val="clear" w:color="auto" w:fill="FFFFFF" w:themeFill="background1"/>
        <w:ind w:left="0" w:right="-2" w:firstLine="567"/>
        <w:jc w:val="both"/>
        <w:rPr>
          <w:lang w:val="uk-UA"/>
        </w:rPr>
      </w:pPr>
      <w:r w:rsidRPr="007F3534">
        <w:t xml:space="preserve">- </w:t>
      </w:r>
      <w:r w:rsidR="00CE23CD" w:rsidRPr="007F3534">
        <w:rPr>
          <w:lang w:val="uk-UA"/>
        </w:rPr>
        <w:t>28 760,6</w:t>
      </w:r>
      <w:r w:rsidRPr="007F3534">
        <w:t xml:space="preserve"> тис. грн </w:t>
      </w:r>
      <w:r w:rsidRPr="007F3534">
        <w:rPr>
          <w:shd w:val="clear" w:color="auto" w:fill="FFFFFF" w:themeFill="background1"/>
        </w:rPr>
        <w:t xml:space="preserve">внутрішніх податків на товари та послуги (в т.ч. </w:t>
      </w:r>
      <w:r w:rsidR="00CE23CD" w:rsidRPr="007F3534">
        <w:rPr>
          <w:shd w:val="clear" w:color="auto" w:fill="FFFFFF" w:themeFill="background1"/>
          <w:lang w:val="uk-UA"/>
        </w:rPr>
        <w:t>12 324,6</w:t>
      </w:r>
      <w:r w:rsidRPr="007F3534">
        <w:rPr>
          <w:shd w:val="clear" w:color="auto" w:fill="FFFFFF" w:themeFill="background1"/>
        </w:rPr>
        <w:t xml:space="preserve"> тис. г</w:t>
      </w:r>
      <w:r w:rsidR="00D56386" w:rsidRPr="007F3534">
        <w:rPr>
          <w:shd w:val="clear" w:color="auto" w:fill="FFFFFF" w:themeFill="background1"/>
        </w:rPr>
        <w:t>рн акцизного податку на пальне)</w:t>
      </w:r>
      <w:r w:rsidR="00D56386" w:rsidRPr="007F3534">
        <w:rPr>
          <w:shd w:val="clear" w:color="auto" w:fill="FFFFFF" w:themeFill="background1"/>
          <w:lang w:val="uk-UA"/>
        </w:rPr>
        <w:t xml:space="preserve"> - </w:t>
      </w:r>
      <w:r w:rsidRPr="007F3534">
        <w:rPr>
          <w:shd w:val="clear" w:color="auto" w:fill="FFFFFF" w:themeFill="background1"/>
        </w:rPr>
        <w:t xml:space="preserve"> </w:t>
      </w:r>
      <w:bookmarkStart w:id="1" w:name="_Hlk70525412"/>
      <w:r w:rsidR="00CE23CD" w:rsidRPr="007F3534">
        <w:rPr>
          <w:shd w:val="clear" w:color="auto" w:fill="FFFFFF" w:themeFill="background1"/>
          <w:lang w:val="uk-UA"/>
        </w:rPr>
        <w:t>140,0</w:t>
      </w:r>
      <w:r w:rsidR="00D56386" w:rsidRPr="007F3534">
        <w:rPr>
          <w:shd w:val="clear" w:color="auto" w:fill="FFFFFF" w:themeFill="background1"/>
        </w:rPr>
        <w:t>% виконання</w:t>
      </w:r>
      <w:r w:rsidR="00D56386" w:rsidRPr="007F3534">
        <w:rPr>
          <w:shd w:val="clear" w:color="auto" w:fill="FFFFFF" w:themeFill="background1"/>
          <w:lang w:val="uk-UA"/>
        </w:rPr>
        <w:t>;</w:t>
      </w:r>
    </w:p>
    <w:bookmarkEnd w:id="1"/>
    <w:p w:rsidR="00982654" w:rsidRPr="007F3534" w:rsidRDefault="00982654" w:rsidP="00EA4B1E">
      <w:pPr>
        <w:pStyle w:val="a4"/>
        <w:ind w:left="0" w:right="-2" w:firstLine="567"/>
        <w:jc w:val="both"/>
      </w:pPr>
      <w:r w:rsidRPr="007F3534">
        <w:t xml:space="preserve">- </w:t>
      </w:r>
      <w:r w:rsidR="00833531" w:rsidRPr="007F3534">
        <w:rPr>
          <w:lang w:val="uk-UA"/>
        </w:rPr>
        <w:t>3 459,4</w:t>
      </w:r>
      <w:r w:rsidRPr="007F3534">
        <w:t xml:space="preserve"> тис. грн плати за надання адміністративних послуг – </w:t>
      </w:r>
      <w:r w:rsidR="00833531" w:rsidRPr="007F3534">
        <w:rPr>
          <w:lang w:val="uk-UA"/>
        </w:rPr>
        <w:t>109,0</w:t>
      </w:r>
      <w:r w:rsidRPr="007F3534">
        <w:t>% виконання плану;</w:t>
      </w:r>
    </w:p>
    <w:p w:rsidR="00982654" w:rsidRPr="007F3534" w:rsidRDefault="00982654" w:rsidP="00EA4B1E">
      <w:pPr>
        <w:pStyle w:val="a4"/>
        <w:ind w:left="0" w:right="-2" w:firstLine="567"/>
        <w:jc w:val="both"/>
      </w:pPr>
      <w:r w:rsidRPr="007F3534">
        <w:t xml:space="preserve">- </w:t>
      </w:r>
      <w:r w:rsidR="00915842" w:rsidRPr="007F3534">
        <w:rPr>
          <w:lang w:val="uk-UA"/>
        </w:rPr>
        <w:t>2 078,0</w:t>
      </w:r>
      <w:r w:rsidRPr="007F3534">
        <w:t xml:space="preserve">  тис. грн інших доходів.</w:t>
      </w:r>
    </w:p>
    <w:p w:rsidR="00982654" w:rsidRPr="007F3534" w:rsidRDefault="00982654" w:rsidP="00EA4B1E">
      <w:pPr>
        <w:pStyle w:val="af6"/>
        <w:spacing w:line="240" w:lineRule="auto"/>
        <w:ind w:left="0" w:firstLine="567"/>
        <w:jc w:val="both"/>
        <w:rPr>
          <w:rFonts w:ascii="Times New Roman" w:hAnsi="Times New Roman"/>
          <w:sz w:val="24"/>
          <w:szCs w:val="24"/>
        </w:rPr>
      </w:pPr>
      <w:r w:rsidRPr="007F3534">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 xml:space="preserve">податок та збір на доходи фізичних осіб складає </w:t>
      </w:r>
      <w:r w:rsidR="00915842" w:rsidRPr="007F3534">
        <w:rPr>
          <w:rFonts w:ascii="Times New Roman" w:hAnsi="Times New Roman"/>
          <w:sz w:val="24"/>
          <w:szCs w:val="24"/>
        </w:rPr>
        <w:t>58</w:t>
      </w:r>
      <w:r w:rsidRPr="007F3534">
        <w:rPr>
          <w:rFonts w:ascii="Times New Roman" w:hAnsi="Times New Roman"/>
          <w:sz w:val="24"/>
          <w:szCs w:val="24"/>
        </w:rPr>
        <w:t>%;</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 xml:space="preserve">єдиний податок – </w:t>
      </w:r>
      <w:r w:rsidR="00915842" w:rsidRPr="007F3534">
        <w:rPr>
          <w:rFonts w:ascii="Times New Roman" w:hAnsi="Times New Roman"/>
          <w:sz w:val="24"/>
          <w:szCs w:val="24"/>
        </w:rPr>
        <w:t>17</w:t>
      </w:r>
      <w:r w:rsidRPr="007F3534">
        <w:rPr>
          <w:rFonts w:ascii="Times New Roman" w:hAnsi="Times New Roman"/>
          <w:sz w:val="24"/>
          <w:szCs w:val="24"/>
        </w:rPr>
        <w:t>%;</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 xml:space="preserve">податок на майно – </w:t>
      </w:r>
      <w:r w:rsidR="00915842" w:rsidRPr="007F3534">
        <w:rPr>
          <w:rFonts w:ascii="Times New Roman" w:hAnsi="Times New Roman"/>
          <w:sz w:val="24"/>
          <w:szCs w:val="24"/>
        </w:rPr>
        <w:t>13</w:t>
      </w:r>
      <w:r w:rsidRPr="007F3534">
        <w:rPr>
          <w:rFonts w:ascii="Times New Roman" w:hAnsi="Times New Roman"/>
          <w:sz w:val="24"/>
          <w:szCs w:val="24"/>
        </w:rPr>
        <w:t>%;</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внутрішні податки на товари та послуги (в т.ч. акцизний податок) –</w:t>
      </w:r>
      <w:r w:rsidR="000D4DCF" w:rsidRPr="007F3534">
        <w:rPr>
          <w:rFonts w:ascii="Times New Roman" w:hAnsi="Times New Roman"/>
          <w:sz w:val="24"/>
          <w:szCs w:val="24"/>
        </w:rPr>
        <w:t xml:space="preserve"> </w:t>
      </w:r>
      <w:r w:rsidR="00915842" w:rsidRPr="007F3534">
        <w:rPr>
          <w:rFonts w:ascii="Times New Roman" w:hAnsi="Times New Roman"/>
          <w:sz w:val="24"/>
          <w:szCs w:val="24"/>
        </w:rPr>
        <w:t>10</w:t>
      </w:r>
      <w:r w:rsidRPr="007F3534">
        <w:rPr>
          <w:rFonts w:ascii="Times New Roman" w:hAnsi="Times New Roman"/>
          <w:sz w:val="24"/>
          <w:szCs w:val="24"/>
        </w:rPr>
        <w:t>%;</w:t>
      </w:r>
    </w:p>
    <w:p w:rsidR="00982654" w:rsidRPr="007F3534"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7F3534">
        <w:rPr>
          <w:rFonts w:ascii="Times New Roman" w:hAnsi="Times New Roman"/>
          <w:sz w:val="24"/>
          <w:szCs w:val="24"/>
        </w:rPr>
        <w:t>інші</w:t>
      </w:r>
      <w:r w:rsidR="008F6F97" w:rsidRPr="007F3534">
        <w:rPr>
          <w:rFonts w:ascii="Times New Roman" w:hAnsi="Times New Roman"/>
          <w:sz w:val="24"/>
          <w:szCs w:val="24"/>
        </w:rPr>
        <w:t xml:space="preserve"> податки та збори</w:t>
      </w:r>
      <w:r w:rsidRPr="007F3534">
        <w:rPr>
          <w:rFonts w:ascii="Times New Roman" w:hAnsi="Times New Roman"/>
          <w:sz w:val="24"/>
          <w:szCs w:val="24"/>
        </w:rPr>
        <w:t xml:space="preserve"> – </w:t>
      </w:r>
      <w:r w:rsidR="008F6F97" w:rsidRPr="007F3534">
        <w:rPr>
          <w:rFonts w:ascii="Times New Roman" w:hAnsi="Times New Roman"/>
          <w:sz w:val="24"/>
          <w:szCs w:val="24"/>
        </w:rPr>
        <w:t>2</w:t>
      </w:r>
      <w:r w:rsidRPr="007F3534">
        <w:rPr>
          <w:rFonts w:ascii="Times New Roman" w:hAnsi="Times New Roman"/>
          <w:sz w:val="24"/>
          <w:szCs w:val="24"/>
        </w:rPr>
        <w:t>%.</w:t>
      </w:r>
    </w:p>
    <w:p w:rsidR="00982654" w:rsidRPr="007F3534" w:rsidRDefault="00982654" w:rsidP="00EA4B1E">
      <w:pPr>
        <w:pStyle w:val="af6"/>
        <w:ind w:left="0" w:firstLine="567"/>
        <w:jc w:val="both"/>
        <w:rPr>
          <w:rFonts w:ascii="Times New Roman" w:hAnsi="Times New Roman"/>
          <w:sz w:val="24"/>
          <w:szCs w:val="24"/>
        </w:rPr>
      </w:pPr>
      <w:r w:rsidRPr="007F3534">
        <w:rPr>
          <w:rFonts w:ascii="Times New Roman" w:hAnsi="Times New Roman"/>
          <w:sz w:val="24"/>
          <w:szCs w:val="24"/>
        </w:rPr>
        <w:tab/>
        <w:t>Зокрема, структура відповідних фактичних надходжень виглядає наступним чином:</w:t>
      </w:r>
    </w:p>
    <w:p w:rsidR="00982654" w:rsidRPr="007F3534" w:rsidRDefault="00982654" w:rsidP="00982654">
      <w:pPr>
        <w:pStyle w:val="af6"/>
        <w:ind w:left="0"/>
        <w:jc w:val="both"/>
        <w:rPr>
          <w:sz w:val="24"/>
          <w:szCs w:val="24"/>
        </w:rPr>
      </w:pPr>
    </w:p>
    <w:p w:rsidR="000D4DCF" w:rsidRPr="00750CF4" w:rsidRDefault="000D4DCF" w:rsidP="00982654">
      <w:pPr>
        <w:pStyle w:val="af6"/>
        <w:ind w:left="0"/>
        <w:jc w:val="both"/>
        <w:rPr>
          <w:color w:val="7030A0"/>
        </w:rPr>
      </w:pPr>
    </w:p>
    <w:p w:rsidR="000D4DCF" w:rsidRPr="00750CF4" w:rsidRDefault="000D4DCF" w:rsidP="00982654">
      <w:pPr>
        <w:pStyle w:val="af6"/>
        <w:ind w:left="0"/>
        <w:jc w:val="both"/>
        <w:rPr>
          <w:color w:val="7030A0"/>
        </w:rPr>
      </w:pPr>
      <w:r w:rsidRPr="00750CF4">
        <w:rPr>
          <w:noProof/>
          <w:color w:val="7030A0"/>
          <w:lang w:eastAsia="uk-UA"/>
        </w:rPr>
        <w:lastRenderedPageBreak/>
        <w:drawing>
          <wp:inline distT="0" distB="0" distL="0" distR="0" wp14:anchorId="0F161D71" wp14:editId="5E74351E">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4DCF" w:rsidRPr="00750CF4" w:rsidRDefault="000D4DCF" w:rsidP="00982654">
      <w:pPr>
        <w:pStyle w:val="af6"/>
        <w:ind w:left="0"/>
        <w:jc w:val="both"/>
        <w:rPr>
          <w:color w:val="7030A0"/>
        </w:rPr>
      </w:pPr>
    </w:p>
    <w:p w:rsidR="00982654" w:rsidRPr="00567D5C" w:rsidRDefault="00982654" w:rsidP="00EA4B1E">
      <w:pPr>
        <w:ind w:firstLine="567"/>
        <w:jc w:val="both"/>
        <w:rPr>
          <w:lang w:val="uk-UA"/>
        </w:rPr>
      </w:pPr>
      <w:r w:rsidRPr="00567D5C">
        <w:rPr>
          <w:lang w:val="uk-UA"/>
        </w:rPr>
        <w:t xml:space="preserve">До загального фонду місцевого бюджету (включаючи міжбюджетні трансферти) </w:t>
      </w:r>
      <w:r w:rsidR="00E17852" w:rsidRPr="00567D5C">
        <w:rPr>
          <w:lang w:val="uk-UA"/>
        </w:rPr>
        <w:t xml:space="preserve">за </w:t>
      </w:r>
      <w:r w:rsidR="00814F51" w:rsidRPr="00567D5C">
        <w:rPr>
          <w:lang w:val="uk-UA"/>
        </w:rPr>
        <w:t xml:space="preserve">I </w:t>
      </w:r>
      <w:r w:rsidR="00FD52EF" w:rsidRPr="00567D5C">
        <w:rPr>
          <w:lang w:val="uk-UA"/>
        </w:rPr>
        <w:t>півріччя</w:t>
      </w:r>
      <w:r w:rsidR="00E17852" w:rsidRPr="00567D5C">
        <w:rPr>
          <w:lang w:val="uk-UA"/>
        </w:rPr>
        <w:t xml:space="preserve"> 2023 року</w:t>
      </w:r>
      <w:r w:rsidRPr="00567D5C">
        <w:rPr>
          <w:lang w:val="uk-UA"/>
        </w:rPr>
        <w:t xml:space="preserve"> надійшло </w:t>
      </w:r>
      <w:r w:rsidR="00FD52EF" w:rsidRPr="00567D5C">
        <w:rPr>
          <w:lang w:val="uk-UA"/>
        </w:rPr>
        <w:t>579 044,8</w:t>
      </w:r>
      <w:r w:rsidRPr="00567D5C">
        <w:rPr>
          <w:lang w:val="uk-UA"/>
        </w:rPr>
        <w:t xml:space="preserve"> тис. грн, </w:t>
      </w:r>
      <w:bookmarkStart w:id="2" w:name="_Hlk70677807"/>
      <w:r w:rsidRPr="00567D5C">
        <w:rPr>
          <w:lang w:val="uk-UA"/>
        </w:rPr>
        <w:t xml:space="preserve">що на </w:t>
      </w:r>
      <w:r w:rsidR="00FD52EF" w:rsidRPr="00567D5C">
        <w:rPr>
          <w:lang w:val="uk-UA"/>
        </w:rPr>
        <w:t>248 563,7</w:t>
      </w:r>
      <w:r w:rsidRPr="00567D5C">
        <w:rPr>
          <w:lang w:val="uk-UA"/>
        </w:rPr>
        <w:t xml:space="preserve"> тис. грн </w:t>
      </w:r>
      <w:r w:rsidR="004E1B46" w:rsidRPr="00567D5C">
        <w:rPr>
          <w:lang w:val="uk-UA"/>
        </w:rPr>
        <w:t>біль</w:t>
      </w:r>
      <w:r w:rsidRPr="00567D5C">
        <w:rPr>
          <w:lang w:val="uk-UA"/>
        </w:rPr>
        <w:t>ше в порівнянні з аналогічним періодом 202</w:t>
      </w:r>
      <w:r w:rsidR="004E1B46" w:rsidRPr="00567D5C">
        <w:rPr>
          <w:lang w:val="uk-UA"/>
        </w:rPr>
        <w:t>2</w:t>
      </w:r>
      <w:r w:rsidRPr="00567D5C">
        <w:rPr>
          <w:lang w:val="uk-UA"/>
        </w:rPr>
        <w:t xml:space="preserve"> року. </w:t>
      </w:r>
      <w:bookmarkEnd w:id="2"/>
    </w:p>
    <w:p w:rsidR="00982654" w:rsidRPr="00567D5C" w:rsidRDefault="00982654" w:rsidP="00EA4B1E">
      <w:pPr>
        <w:ind w:firstLine="567"/>
        <w:jc w:val="both"/>
        <w:rPr>
          <w:lang w:val="uk-UA"/>
        </w:rPr>
      </w:pPr>
      <w:r w:rsidRPr="00567D5C">
        <w:rPr>
          <w:lang w:val="uk-UA"/>
        </w:rPr>
        <w:t xml:space="preserve">Офіційних трансфертів за </w:t>
      </w:r>
      <w:r w:rsidR="004E1B46" w:rsidRPr="00567D5C">
        <w:rPr>
          <w:lang w:val="uk-UA"/>
        </w:rPr>
        <w:t xml:space="preserve">звітний період </w:t>
      </w:r>
      <w:r w:rsidRPr="00567D5C">
        <w:rPr>
          <w:lang w:val="uk-UA"/>
        </w:rPr>
        <w:t>202</w:t>
      </w:r>
      <w:r w:rsidR="004E1B46" w:rsidRPr="00567D5C">
        <w:rPr>
          <w:lang w:val="uk-UA"/>
        </w:rPr>
        <w:t>3</w:t>
      </w:r>
      <w:r w:rsidRPr="00567D5C">
        <w:rPr>
          <w:lang w:val="uk-UA"/>
        </w:rPr>
        <w:t xml:space="preserve"> р</w:t>
      </w:r>
      <w:r w:rsidR="004E1B46" w:rsidRPr="00567D5C">
        <w:rPr>
          <w:lang w:val="uk-UA"/>
        </w:rPr>
        <w:t>оку</w:t>
      </w:r>
      <w:r w:rsidRPr="00567D5C">
        <w:rPr>
          <w:lang w:val="uk-UA"/>
        </w:rPr>
        <w:t xml:space="preserve"> отримано в розмірі </w:t>
      </w:r>
      <w:r w:rsidR="00EB278D" w:rsidRPr="00567D5C">
        <w:rPr>
          <w:lang w:val="uk-UA"/>
        </w:rPr>
        <w:t>277 743,5</w:t>
      </w:r>
      <w:r w:rsidRPr="00567D5C">
        <w:rPr>
          <w:lang w:val="uk-UA"/>
        </w:rPr>
        <w:t xml:space="preserve"> тис. грн, що на </w:t>
      </w:r>
      <w:r w:rsidR="00EB278D" w:rsidRPr="00567D5C">
        <w:rPr>
          <w:lang w:val="uk-UA"/>
        </w:rPr>
        <w:t>153 423,7</w:t>
      </w:r>
      <w:r w:rsidRPr="00567D5C">
        <w:rPr>
          <w:lang w:val="uk-UA"/>
        </w:rPr>
        <w:t xml:space="preserve"> тис. грн </w:t>
      </w:r>
      <w:r w:rsidR="004E1B46" w:rsidRPr="00567D5C">
        <w:rPr>
          <w:lang w:val="uk-UA"/>
        </w:rPr>
        <w:t>біль</w:t>
      </w:r>
      <w:r w:rsidRPr="00567D5C">
        <w:rPr>
          <w:lang w:val="uk-UA"/>
        </w:rPr>
        <w:t>ше в порівнянні з аналогічним періодом минулого року.</w:t>
      </w:r>
    </w:p>
    <w:p w:rsidR="00982654" w:rsidRPr="00567D5C" w:rsidRDefault="00982654" w:rsidP="00EA4B1E">
      <w:pPr>
        <w:ind w:firstLine="567"/>
        <w:jc w:val="both"/>
        <w:rPr>
          <w:lang w:val="uk-UA"/>
        </w:rPr>
      </w:pPr>
      <w:r w:rsidRPr="00567D5C">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567D5C">
        <w:rPr>
          <w:lang w:val="uk-UA"/>
        </w:rPr>
        <w:t>за 1</w:t>
      </w:r>
      <w:r w:rsidR="0051527A" w:rsidRPr="00567D5C">
        <w:rPr>
          <w:lang w:val="uk-UA"/>
        </w:rPr>
        <w:t xml:space="preserve"> півріччя</w:t>
      </w:r>
      <w:r w:rsidR="004E1B46" w:rsidRPr="00567D5C">
        <w:rPr>
          <w:lang w:val="uk-UA"/>
        </w:rPr>
        <w:t xml:space="preserve"> 2023 року</w:t>
      </w:r>
      <w:r w:rsidRPr="00567D5C">
        <w:rPr>
          <w:lang w:val="uk-UA"/>
        </w:rPr>
        <w:t xml:space="preserve"> виконано на </w:t>
      </w:r>
      <w:r w:rsidR="0051527A" w:rsidRPr="00567D5C">
        <w:rPr>
          <w:lang w:val="uk-UA"/>
        </w:rPr>
        <w:t>99,2</w:t>
      </w:r>
      <w:r w:rsidRPr="00567D5C">
        <w:rPr>
          <w:lang w:val="uk-UA"/>
        </w:rPr>
        <w:t xml:space="preserve">% або на </w:t>
      </w:r>
      <w:r w:rsidR="0051527A" w:rsidRPr="00567D5C">
        <w:rPr>
          <w:lang w:val="uk-UA"/>
        </w:rPr>
        <w:t>4 440,4</w:t>
      </w:r>
      <w:r w:rsidRPr="00567D5C">
        <w:rPr>
          <w:lang w:val="uk-UA"/>
        </w:rPr>
        <w:t xml:space="preserve"> тис. грн </w:t>
      </w:r>
      <w:r w:rsidR="0051527A" w:rsidRPr="00567D5C">
        <w:rPr>
          <w:lang w:val="uk-UA"/>
        </w:rPr>
        <w:t>мен</w:t>
      </w:r>
      <w:r w:rsidRPr="00567D5C">
        <w:rPr>
          <w:lang w:val="uk-UA"/>
        </w:rPr>
        <w:t xml:space="preserve">ше проти уточнених планових призначень. </w:t>
      </w:r>
    </w:p>
    <w:p w:rsidR="00982654" w:rsidRPr="004D2F0D" w:rsidRDefault="00982654" w:rsidP="00982654">
      <w:pPr>
        <w:pStyle w:val="2"/>
        <w:spacing w:after="0" w:line="240" w:lineRule="auto"/>
        <w:ind w:left="0" w:firstLine="900"/>
        <w:jc w:val="center"/>
        <w:rPr>
          <w:b/>
          <w:bCs/>
          <w:highlight w:val="cyan"/>
          <w:u w:val="single"/>
          <w:lang w:val="uk-UA"/>
        </w:rPr>
      </w:pPr>
      <w:bookmarkStart w:id="3" w:name="_Hlk70492652"/>
    </w:p>
    <w:p w:rsidR="00982654" w:rsidRPr="004D2F0D" w:rsidRDefault="00982654" w:rsidP="00982654">
      <w:pPr>
        <w:jc w:val="center"/>
        <w:rPr>
          <w:b/>
          <w:u w:val="single"/>
          <w:lang w:val="uk-UA"/>
        </w:rPr>
      </w:pPr>
      <w:r w:rsidRPr="004D2F0D">
        <w:rPr>
          <w:b/>
          <w:bCs/>
          <w:u w:val="single"/>
          <w:lang w:val="uk-UA"/>
        </w:rPr>
        <w:t>Податок з доходів фізичних осіб</w:t>
      </w:r>
      <w:r w:rsidRPr="004D2F0D">
        <w:rPr>
          <w:b/>
          <w:u w:val="single"/>
          <w:lang w:val="uk-UA"/>
        </w:rPr>
        <w:t xml:space="preserve"> </w:t>
      </w:r>
    </w:p>
    <w:bookmarkEnd w:id="3"/>
    <w:p w:rsidR="00982654" w:rsidRPr="004D2F0D" w:rsidRDefault="00982654" w:rsidP="00982654">
      <w:pPr>
        <w:jc w:val="both"/>
        <w:rPr>
          <w:lang w:val="uk-UA"/>
        </w:rPr>
      </w:pPr>
    </w:p>
    <w:p w:rsidR="00982654" w:rsidRPr="004D2F0D" w:rsidRDefault="00982654" w:rsidP="00EA4B1E">
      <w:pPr>
        <w:ind w:firstLine="567"/>
        <w:jc w:val="both"/>
        <w:rPr>
          <w:lang w:val="uk-UA"/>
        </w:rPr>
      </w:pPr>
      <w:r w:rsidRPr="004D2F0D">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r w:rsidR="00B5317E" w:rsidRPr="004D2F0D">
        <w:rPr>
          <w:lang w:val="en-US"/>
        </w:rPr>
        <w:t>I</w:t>
      </w:r>
      <w:r w:rsidR="00FD4DBA" w:rsidRPr="004D2F0D">
        <w:rPr>
          <w:lang w:val="uk-UA"/>
        </w:rPr>
        <w:t xml:space="preserve"> </w:t>
      </w:r>
      <w:r w:rsidR="00F649EE" w:rsidRPr="004D2F0D">
        <w:rPr>
          <w:lang w:val="uk-UA"/>
        </w:rPr>
        <w:t>півріччя</w:t>
      </w:r>
      <w:r w:rsidR="00FD4DBA" w:rsidRPr="004D2F0D">
        <w:rPr>
          <w:lang w:val="uk-UA"/>
        </w:rPr>
        <w:t xml:space="preserve"> 2023 року</w:t>
      </w:r>
      <w:r w:rsidRPr="004D2F0D">
        <w:rPr>
          <w:lang w:val="uk-UA"/>
        </w:rPr>
        <w:t xml:space="preserve"> склала </w:t>
      </w:r>
      <w:r w:rsidR="00F649EE" w:rsidRPr="004D2F0D">
        <w:rPr>
          <w:lang w:val="uk-UA"/>
        </w:rPr>
        <w:t>58</w:t>
      </w:r>
      <w:r w:rsidRPr="004D2F0D">
        <w:rPr>
          <w:lang w:val="uk-UA"/>
        </w:rPr>
        <w:t>% до обсягу доходів загального фонду бюджету громади.</w:t>
      </w:r>
    </w:p>
    <w:p w:rsidR="00982654" w:rsidRPr="004D2F0D" w:rsidRDefault="00982654" w:rsidP="00EA4B1E">
      <w:pPr>
        <w:ind w:firstLine="567"/>
        <w:jc w:val="both"/>
        <w:rPr>
          <w:lang w:val="uk-UA"/>
        </w:rPr>
      </w:pPr>
      <w:r w:rsidRPr="004D2F0D">
        <w:rPr>
          <w:lang w:val="uk-UA"/>
        </w:rPr>
        <w:t xml:space="preserve">За звітний період податку на доходи фізичних осіб надійшло в сумі </w:t>
      </w:r>
      <w:r w:rsidR="00F649EE" w:rsidRPr="004D2F0D">
        <w:rPr>
          <w:lang w:val="uk-UA"/>
        </w:rPr>
        <w:t>176 355,1</w:t>
      </w:r>
      <w:r w:rsidRPr="004D2F0D">
        <w:rPr>
          <w:lang w:val="uk-UA"/>
        </w:rPr>
        <w:t xml:space="preserve"> тис. грн, що на </w:t>
      </w:r>
      <w:r w:rsidR="00F649EE" w:rsidRPr="004D2F0D">
        <w:rPr>
          <w:lang w:val="uk-UA"/>
        </w:rPr>
        <w:t>29 709,6</w:t>
      </w:r>
      <w:r w:rsidRPr="004D2F0D">
        <w:rPr>
          <w:lang w:val="uk-UA"/>
        </w:rPr>
        <w:t xml:space="preserve"> тис. грн </w:t>
      </w:r>
      <w:r w:rsidR="00F649EE" w:rsidRPr="004D2F0D">
        <w:rPr>
          <w:lang w:val="uk-UA"/>
        </w:rPr>
        <w:t>мен</w:t>
      </w:r>
      <w:r w:rsidR="00CD751D" w:rsidRPr="004D2F0D">
        <w:rPr>
          <w:lang w:val="uk-UA"/>
        </w:rPr>
        <w:t xml:space="preserve">ше від плану на </w:t>
      </w:r>
      <w:r w:rsidR="00FD4DBA" w:rsidRPr="004D2F0D">
        <w:rPr>
          <w:lang w:val="uk-UA"/>
        </w:rPr>
        <w:t>період</w:t>
      </w:r>
      <w:r w:rsidR="004D2F0D" w:rsidRPr="004D2F0D">
        <w:rPr>
          <w:lang w:val="uk-UA"/>
        </w:rPr>
        <w:t xml:space="preserve"> </w:t>
      </w:r>
      <w:r w:rsidR="00CD751D" w:rsidRPr="004D2F0D">
        <w:rPr>
          <w:lang w:val="uk-UA"/>
        </w:rPr>
        <w:t>(</w:t>
      </w:r>
      <w:r w:rsidR="00F649EE" w:rsidRPr="004D2F0D">
        <w:rPr>
          <w:lang w:val="uk-UA"/>
        </w:rPr>
        <w:t>85,6</w:t>
      </w:r>
      <w:r w:rsidRPr="004D2F0D">
        <w:rPr>
          <w:lang w:val="uk-UA"/>
        </w:rPr>
        <w:t>% виконання</w:t>
      </w:r>
      <w:r w:rsidR="00CD751D" w:rsidRPr="004D2F0D">
        <w:rPr>
          <w:lang w:val="uk-UA"/>
        </w:rPr>
        <w:t>)</w:t>
      </w:r>
      <w:r w:rsidRPr="004D2F0D">
        <w:rPr>
          <w:lang w:val="uk-UA"/>
        </w:rPr>
        <w:t xml:space="preserve"> та на </w:t>
      </w:r>
      <w:r w:rsidR="00F649EE" w:rsidRPr="004D2F0D">
        <w:rPr>
          <w:lang w:val="uk-UA"/>
        </w:rPr>
        <w:t>56 455,6</w:t>
      </w:r>
      <w:r w:rsidRPr="004D2F0D">
        <w:rPr>
          <w:lang w:val="uk-UA"/>
        </w:rPr>
        <w:t xml:space="preserve"> тис. грн  більше, пор</w:t>
      </w:r>
      <w:r w:rsidR="002A31B3" w:rsidRPr="004D2F0D">
        <w:rPr>
          <w:lang w:val="uk-UA"/>
        </w:rPr>
        <w:t xml:space="preserve">івнюючи з аналогічним періодом </w:t>
      </w:r>
      <w:r w:rsidRPr="004D2F0D">
        <w:rPr>
          <w:lang w:val="uk-UA"/>
        </w:rPr>
        <w:t>202</w:t>
      </w:r>
      <w:r w:rsidR="00FD4DBA" w:rsidRPr="004D2F0D">
        <w:rPr>
          <w:lang w:val="uk-UA"/>
        </w:rPr>
        <w:t>2</w:t>
      </w:r>
      <w:r w:rsidRPr="004D2F0D">
        <w:rPr>
          <w:lang w:val="uk-UA"/>
        </w:rPr>
        <w:t xml:space="preserve"> року. Темп росту складає </w:t>
      </w:r>
      <w:r w:rsidR="00F649EE" w:rsidRPr="004D2F0D">
        <w:rPr>
          <w:lang w:val="uk-UA"/>
        </w:rPr>
        <w:t>147,1</w:t>
      </w:r>
      <w:r w:rsidRPr="004D2F0D">
        <w:rPr>
          <w:lang w:val="uk-UA"/>
        </w:rPr>
        <w:t xml:space="preserve"> %. </w:t>
      </w:r>
    </w:p>
    <w:p w:rsidR="00DB765D" w:rsidRPr="00B65DCB" w:rsidRDefault="008D6482" w:rsidP="00EA4B1E">
      <w:pPr>
        <w:ind w:firstLine="567"/>
        <w:jc w:val="both"/>
        <w:rPr>
          <w:lang w:val="uk-UA"/>
        </w:rPr>
      </w:pPr>
      <w:r w:rsidRPr="004D2F0D">
        <w:rPr>
          <w:lang w:val="uk-UA"/>
        </w:rPr>
        <w:t xml:space="preserve">Враховуючи </w:t>
      </w:r>
      <w:r w:rsidR="00FE27EC" w:rsidRPr="004D2F0D">
        <w:rPr>
          <w:lang w:val="uk-UA"/>
        </w:rPr>
        <w:t>оголошений військовий стан в країні, пе</w:t>
      </w:r>
      <w:r w:rsidR="00875526" w:rsidRPr="004D2F0D">
        <w:rPr>
          <w:lang w:val="uk-UA"/>
        </w:rPr>
        <w:t>ребування громади під окупацією,</w:t>
      </w:r>
      <w:r w:rsidR="00FE27EC" w:rsidRPr="004D2F0D">
        <w:rPr>
          <w:lang w:val="uk-UA"/>
        </w:rPr>
        <w:t xml:space="preserve"> післяокупаційний період</w:t>
      </w:r>
      <w:r w:rsidR="00875526" w:rsidRPr="004D2F0D">
        <w:rPr>
          <w:lang w:val="uk-UA"/>
        </w:rPr>
        <w:t xml:space="preserve"> та </w:t>
      </w:r>
      <w:r w:rsidR="001B7F18" w:rsidRPr="004D2F0D">
        <w:rPr>
          <w:lang w:val="uk-UA"/>
        </w:rPr>
        <w:t>специфіку розташування на території громади військових частин</w:t>
      </w:r>
      <w:r w:rsidR="00FE27EC" w:rsidRPr="004D2F0D">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B5317E" w:rsidRPr="004D2F0D">
        <w:rPr>
          <w:lang w:val="en-US"/>
        </w:rPr>
        <w:t>I</w:t>
      </w:r>
      <w:r w:rsidR="00B6736A" w:rsidRPr="004D2F0D">
        <w:rPr>
          <w:lang w:val="uk-UA"/>
        </w:rPr>
        <w:t xml:space="preserve"> </w:t>
      </w:r>
      <w:r w:rsidR="00875526" w:rsidRPr="004D2F0D">
        <w:rPr>
          <w:lang w:val="uk-UA"/>
        </w:rPr>
        <w:t>півріччям</w:t>
      </w:r>
      <w:r w:rsidR="00B6736A" w:rsidRPr="004D2F0D">
        <w:rPr>
          <w:lang w:val="uk-UA"/>
        </w:rPr>
        <w:t xml:space="preserve"> </w:t>
      </w:r>
      <w:r w:rsidR="00FE27EC" w:rsidRPr="004D2F0D">
        <w:rPr>
          <w:lang w:val="uk-UA"/>
        </w:rPr>
        <w:t>202</w:t>
      </w:r>
      <w:r w:rsidR="00B6736A" w:rsidRPr="004D2F0D">
        <w:rPr>
          <w:lang w:val="uk-UA"/>
        </w:rPr>
        <w:t>2</w:t>
      </w:r>
      <w:r w:rsidR="00FE27EC" w:rsidRPr="004D2F0D">
        <w:rPr>
          <w:lang w:val="uk-UA"/>
        </w:rPr>
        <w:t xml:space="preserve"> рок</w:t>
      </w:r>
      <w:r w:rsidR="00B6736A" w:rsidRPr="004D2F0D">
        <w:rPr>
          <w:lang w:val="uk-UA"/>
        </w:rPr>
        <w:t>у</w:t>
      </w:r>
      <w:r w:rsidR="00FE27EC" w:rsidRPr="004D2F0D">
        <w:rPr>
          <w:lang w:val="uk-UA"/>
        </w:rPr>
        <w:t xml:space="preserve">. Найбільшими платниками податку на доходи фізичних осіб на території ї громади </w:t>
      </w:r>
      <w:r w:rsidR="00B6736A" w:rsidRPr="004D2F0D">
        <w:rPr>
          <w:lang w:val="uk-UA"/>
        </w:rPr>
        <w:t xml:space="preserve">звітному періоді </w:t>
      </w:r>
      <w:r w:rsidR="00FE27EC" w:rsidRPr="004D2F0D">
        <w:rPr>
          <w:lang w:val="uk-UA"/>
        </w:rPr>
        <w:t>були: В/Ч А4699,</w:t>
      </w:r>
      <w:r w:rsidR="00144DC7" w:rsidRPr="00B65DCB">
        <w:rPr>
          <w:lang w:val="uk-UA"/>
        </w:rPr>
        <w:t xml:space="preserve"> </w:t>
      </w:r>
      <w:r w:rsidR="00144DC7" w:rsidRPr="004D2F0D">
        <w:rPr>
          <w:lang w:val="uk-UA"/>
        </w:rPr>
        <w:t>ПП «Автомагістраль»,</w:t>
      </w:r>
      <w:r w:rsidR="00FE27EC" w:rsidRPr="004D2F0D">
        <w:rPr>
          <w:lang w:val="uk-UA"/>
        </w:rPr>
        <w:t xml:space="preserve"> </w:t>
      </w:r>
      <w:r w:rsidR="00144DC7" w:rsidRPr="004D2F0D">
        <w:rPr>
          <w:lang w:val="uk-UA"/>
        </w:rPr>
        <w:t xml:space="preserve">ТОВ «НОВУС Україна», ТОВ «СІЛЬПО-ФУД», ТОВ «HВП МАДЕК, ПП «Деліція», </w:t>
      </w:r>
      <w:r w:rsidR="00DB765D" w:rsidRPr="004D2F0D">
        <w:rPr>
          <w:lang w:val="uk-UA"/>
        </w:rPr>
        <w:t xml:space="preserve">КНП КОР "КОЦМЗ", </w:t>
      </w:r>
      <w:r w:rsidR="00144DC7" w:rsidRPr="004D2F0D">
        <w:rPr>
          <w:lang w:val="uk-UA"/>
        </w:rPr>
        <w:t xml:space="preserve">КНП БЦПМСД БМР, </w:t>
      </w:r>
      <w:r w:rsidR="00FE27EC" w:rsidRPr="004D2F0D">
        <w:rPr>
          <w:lang w:val="uk-UA"/>
        </w:rPr>
        <w:t xml:space="preserve">Київський обласний військовий комісаріат, </w:t>
      </w:r>
      <w:r w:rsidR="00DB765D" w:rsidRPr="004D2F0D">
        <w:rPr>
          <w:lang w:val="uk-UA"/>
        </w:rPr>
        <w:t xml:space="preserve">В/ч 3027, </w:t>
      </w:r>
      <w:r w:rsidR="00FE27EC" w:rsidRPr="004D2F0D">
        <w:rPr>
          <w:lang w:val="uk-UA"/>
        </w:rPr>
        <w:t>Г</w:t>
      </w:r>
      <w:r w:rsidR="00D80BA3" w:rsidRPr="004D2F0D">
        <w:rPr>
          <w:lang w:val="uk-UA"/>
        </w:rPr>
        <w:t>оловне управління національної поліції</w:t>
      </w:r>
      <w:r w:rsidR="00FE27EC" w:rsidRPr="004D2F0D">
        <w:rPr>
          <w:lang w:val="uk-UA"/>
        </w:rPr>
        <w:t xml:space="preserve"> в Київській області,</w:t>
      </w:r>
      <w:r w:rsidR="00A9589D" w:rsidRPr="00B65DCB">
        <w:rPr>
          <w:lang w:val="uk-UA"/>
        </w:rPr>
        <w:t xml:space="preserve"> </w:t>
      </w:r>
    </w:p>
    <w:p w:rsidR="00982654" w:rsidRPr="004D2F0D" w:rsidRDefault="00FE27EC" w:rsidP="00DB765D">
      <w:pPr>
        <w:jc w:val="both"/>
        <w:rPr>
          <w:lang w:val="uk-UA"/>
        </w:rPr>
      </w:pPr>
      <w:r w:rsidRPr="004D2F0D">
        <w:rPr>
          <w:lang w:val="uk-UA"/>
        </w:rPr>
        <w:t>та інші (таблиця 1).</w:t>
      </w:r>
    </w:p>
    <w:p w:rsidR="00117239" w:rsidRPr="004D2F0D" w:rsidRDefault="00117239" w:rsidP="004C7F31">
      <w:pPr>
        <w:ind w:firstLine="567"/>
        <w:jc w:val="right"/>
        <w:rPr>
          <w:u w:val="single"/>
          <w:lang w:val="uk-UA"/>
        </w:rPr>
      </w:pPr>
    </w:p>
    <w:p w:rsidR="00CF70D7" w:rsidRDefault="00CF70D7" w:rsidP="004C7F31">
      <w:pPr>
        <w:ind w:firstLine="567"/>
        <w:jc w:val="right"/>
        <w:rPr>
          <w:u w:val="single"/>
          <w:lang w:val="uk-UA"/>
        </w:rPr>
      </w:pPr>
    </w:p>
    <w:p w:rsidR="00493C5E" w:rsidRDefault="00493C5E" w:rsidP="004C7F31">
      <w:pPr>
        <w:ind w:firstLine="567"/>
        <w:jc w:val="right"/>
        <w:rPr>
          <w:color w:val="002060"/>
          <w:u w:val="single"/>
          <w:lang w:val="uk-UA"/>
        </w:rPr>
      </w:pPr>
    </w:p>
    <w:p w:rsidR="004C7F31" w:rsidRPr="000731D9" w:rsidRDefault="004C7F31" w:rsidP="004C7F31">
      <w:pPr>
        <w:ind w:firstLine="567"/>
        <w:jc w:val="right"/>
        <w:rPr>
          <w:u w:val="single"/>
          <w:lang w:val="uk-UA"/>
        </w:rPr>
      </w:pPr>
      <w:r w:rsidRPr="000731D9">
        <w:rPr>
          <w:u w:val="single"/>
          <w:lang w:val="uk-UA"/>
        </w:rPr>
        <w:lastRenderedPageBreak/>
        <w:t>Таблиця 1</w:t>
      </w:r>
    </w:p>
    <w:p w:rsidR="00982654" w:rsidRPr="000731D9"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0731D9" w:rsidRPr="00B65DCB" w:rsidTr="009E0E3F">
        <w:trPr>
          <w:trHeight w:val="238"/>
        </w:trPr>
        <w:tc>
          <w:tcPr>
            <w:tcW w:w="1674" w:type="dxa"/>
          </w:tcPr>
          <w:p w:rsidR="00982654" w:rsidRPr="000731D9" w:rsidRDefault="00982654" w:rsidP="0080112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982654" w:rsidRPr="000731D9" w:rsidRDefault="00982654" w:rsidP="00801123">
            <w:pPr>
              <w:jc w:val="center"/>
              <w:rPr>
                <w:b/>
                <w:bCs/>
                <w:caps/>
                <w:u w:val="single"/>
                <w:lang w:val="uk-UA"/>
              </w:rPr>
            </w:pPr>
            <w:r w:rsidRPr="000731D9">
              <w:rPr>
                <w:b/>
                <w:bCs/>
                <w:caps/>
                <w:u w:val="single"/>
                <w:lang w:val="uk-UA"/>
              </w:rPr>
              <w:t xml:space="preserve">Надходження від найбільших платників ПДФО </w:t>
            </w:r>
          </w:p>
          <w:p w:rsidR="00982654" w:rsidRPr="000731D9" w:rsidRDefault="00982654" w:rsidP="000D2DB1">
            <w:pPr>
              <w:jc w:val="center"/>
              <w:rPr>
                <w:b/>
                <w:bCs/>
                <w:u w:val="single"/>
                <w:lang w:val="uk-UA"/>
              </w:rPr>
            </w:pPr>
            <w:r w:rsidRPr="000731D9">
              <w:rPr>
                <w:b/>
                <w:bCs/>
                <w:caps/>
                <w:u w:val="single"/>
                <w:lang w:val="uk-UA"/>
              </w:rPr>
              <w:t xml:space="preserve">за </w:t>
            </w:r>
            <w:r w:rsidR="00B5317E" w:rsidRPr="000731D9">
              <w:rPr>
                <w:b/>
                <w:bCs/>
                <w:caps/>
                <w:u w:val="single"/>
                <w:lang w:val="en-US"/>
              </w:rPr>
              <w:t>I</w:t>
            </w:r>
            <w:r w:rsidR="00A4070A" w:rsidRPr="000731D9">
              <w:rPr>
                <w:b/>
                <w:bCs/>
                <w:caps/>
                <w:u w:val="single"/>
                <w:lang w:val="uk-UA"/>
              </w:rPr>
              <w:t xml:space="preserve"> </w:t>
            </w:r>
            <w:r w:rsidR="000D2DB1" w:rsidRPr="000731D9">
              <w:rPr>
                <w:b/>
                <w:bCs/>
                <w:caps/>
                <w:u w:val="single"/>
                <w:lang w:val="uk-UA"/>
              </w:rPr>
              <w:t>півріччя</w:t>
            </w:r>
            <w:r w:rsidR="00A4070A" w:rsidRPr="000731D9">
              <w:rPr>
                <w:b/>
                <w:bCs/>
                <w:caps/>
                <w:u w:val="single"/>
                <w:lang w:val="uk-UA"/>
              </w:rPr>
              <w:t xml:space="preserve"> </w:t>
            </w:r>
            <w:r w:rsidRPr="000731D9">
              <w:rPr>
                <w:b/>
                <w:bCs/>
                <w:caps/>
                <w:u w:val="single"/>
                <w:lang w:val="uk-UA"/>
              </w:rPr>
              <w:t>202</w:t>
            </w:r>
            <w:r w:rsidR="00A4070A" w:rsidRPr="000731D9">
              <w:rPr>
                <w:b/>
                <w:bCs/>
                <w:caps/>
                <w:u w:val="single"/>
                <w:lang w:val="uk-UA"/>
              </w:rPr>
              <w:t>3</w:t>
            </w:r>
            <w:r w:rsidRPr="000731D9">
              <w:rPr>
                <w:b/>
                <w:bCs/>
                <w:caps/>
                <w:u w:val="single"/>
                <w:lang w:val="uk-UA"/>
              </w:rPr>
              <w:t xml:space="preserve"> р</w:t>
            </w:r>
            <w:r w:rsidR="00A4070A" w:rsidRPr="000731D9">
              <w:rPr>
                <w:b/>
                <w:bCs/>
                <w:caps/>
                <w:u w:val="single"/>
                <w:lang w:val="uk-UA"/>
              </w:rPr>
              <w:t>оку</w:t>
            </w:r>
          </w:p>
        </w:tc>
        <w:tc>
          <w:tcPr>
            <w:tcW w:w="992" w:type="dxa"/>
          </w:tcPr>
          <w:p w:rsidR="00982654" w:rsidRPr="000731D9" w:rsidRDefault="00982654" w:rsidP="00801123">
            <w:pPr>
              <w:jc w:val="center"/>
              <w:rPr>
                <w:b/>
                <w:bCs/>
                <w:u w:val="single"/>
                <w:lang w:val="uk-UA"/>
              </w:rPr>
            </w:pPr>
          </w:p>
        </w:tc>
        <w:tc>
          <w:tcPr>
            <w:tcW w:w="992" w:type="dxa"/>
          </w:tcPr>
          <w:p w:rsidR="00982654" w:rsidRPr="000731D9" w:rsidRDefault="00982654" w:rsidP="00801123">
            <w:pPr>
              <w:jc w:val="center"/>
              <w:rPr>
                <w:b/>
                <w:bCs/>
                <w:u w:val="single"/>
                <w:lang w:val="uk-UA"/>
              </w:rPr>
            </w:pPr>
          </w:p>
        </w:tc>
      </w:tr>
    </w:tbl>
    <w:p w:rsidR="00982654" w:rsidRPr="000731D9" w:rsidRDefault="007C2006" w:rsidP="007C2006">
      <w:pPr>
        <w:ind w:right="141"/>
        <w:jc w:val="center"/>
        <w:rPr>
          <w:lang w:val="uk-UA"/>
        </w:rPr>
      </w:pPr>
      <w:r w:rsidRPr="000731D9">
        <w:rPr>
          <w:bCs/>
          <w:lang w:val="uk-UA"/>
        </w:rPr>
        <w:t xml:space="preserve">                                                                                                                                             </w:t>
      </w:r>
      <w:r w:rsidR="00982654" w:rsidRPr="000731D9">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0731D9" w:rsidRPr="000731D9"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20"/>
                <w:szCs w:val="20"/>
                <w:lang w:val="uk-UA"/>
              </w:rPr>
            </w:pPr>
            <w:r w:rsidRPr="000731D9">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20"/>
                <w:szCs w:val="20"/>
                <w:lang w:val="uk-UA"/>
              </w:rPr>
            </w:pPr>
            <w:r w:rsidRPr="000731D9">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20"/>
                <w:szCs w:val="20"/>
                <w:lang w:val="uk-UA"/>
              </w:rPr>
            </w:pPr>
            <w:r w:rsidRPr="000731D9">
              <w:rPr>
                <w:b/>
                <w:bCs/>
                <w:sz w:val="20"/>
                <w:szCs w:val="20"/>
                <w:lang w:val="uk-UA"/>
              </w:rPr>
              <w:t>ВСЬОГО</w:t>
            </w:r>
          </w:p>
          <w:p w:rsidR="00982654" w:rsidRPr="000731D9" w:rsidRDefault="00982654" w:rsidP="00801123">
            <w:pPr>
              <w:jc w:val="center"/>
              <w:rPr>
                <w:b/>
                <w:bCs/>
                <w:sz w:val="20"/>
                <w:szCs w:val="20"/>
                <w:lang w:val="uk-UA"/>
              </w:rPr>
            </w:pPr>
            <w:r w:rsidRPr="000731D9">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A4070A" w:rsidP="000D2DB1">
            <w:pPr>
              <w:jc w:val="center"/>
              <w:rPr>
                <w:b/>
                <w:bCs/>
                <w:sz w:val="20"/>
                <w:szCs w:val="20"/>
                <w:lang w:val="uk-UA"/>
              </w:rPr>
            </w:pPr>
            <w:r w:rsidRPr="000731D9">
              <w:rPr>
                <w:b/>
                <w:bCs/>
                <w:sz w:val="20"/>
                <w:szCs w:val="20"/>
                <w:lang w:val="uk-UA"/>
              </w:rPr>
              <w:t xml:space="preserve">В тому числі ПДФО (64%) за </w:t>
            </w:r>
            <w:r w:rsidR="00B5317E" w:rsidRPr="000731D9">
              <w:rPr>
                <w:b/>
                <w:bCs/>
                <w:sz w:val="20"/>
                <w:szCs w:val="20"/>
                <w:lang w:val="en-US"/>
              </w:rPr>
              <w:t>I</w:t>
            </w:r>
            <w:r w:rsidR="000D2DB1" w:rsidRPr="000731D9">
              <w:rPr>
                <w:b/>
                <w:bCs/>
                <w:sz w:val="20"/>
                <w:szCs w:val="20"/>
                <w:lang w:val="uk-UA"/>
              </w:rPr>
              <w:t xml:space="preserve"> півріччя</w:t>
            </w:r>
            <w:r w:rsidRPr="000731D9">
              <w:rPr>
                <w:b/>
                <w:bCs/>
                <w:sz w:val="20"/>
                <w:szCs w:val="20"/>
                <w:lang w:val="uk-UA"/>
              </w:rPr>
              <w:t xml:space="preserve"> 2023 року</w:t>
            </w:r>
          </w:p>
        </w:tc>
        <w:tc>
          <w:tcPr>
            <w:tcW w:w="1276" w:type="dxa"/>
            <w:tcBorders>
              <w:top w:val="single" w:sz="4" w:space="0" w:color="auto"/>
              <w:left w:val="nil"/>
              <w:bottom w:val="single" w:sz="4" w:space="0" w:color="auto"/>
              <w:right w:val="single" w:sz="4" w:space="0" w:color="auto"/>
            </w:tcBorders>
            <w:vAlign w:val="center"/>
            <w:hideMark/>
          </w:tcPr>
          <w:p w:rsidR="00982654" w:rsidRPr="000731D9" w:rsidRDefault="00982654" w:rsidP="000D2DB1">
            <w:pPr>
              <w:jc w:val="center"/>
              <w:rPr>
                <w:b/>
                <w:bCs/>
                <w:sz w:val="20"/>
                <w:szCs w:val="20"/>
                <w:lang w:val="uk-UA"/>
              </w:rPr>
            </w:pPr>
            <w:r w:rsidRPr="000731D9">
              <w:rPr>
                <w:b/>
                <w:bCs/>
                <w:sz w:val="20"/>
                <w:szCs w:val="20"/>
                <w:lang w:val="uk-UA"/>
              </w:rPr>
              <w:t xml:space="preserve">ПДФО </w:t>
            </w:r>
            <w:r w:rsidR="00A4070A" w:rsidRPr="000731D9">
              <w:rPr>
                <w:b/>
                <w:bCs/>
                <w:sz w:val="20"/>
                <w:szCs w:val="20"/>
                <w:lang w:val="uk-UA"/>
              </w:rPr>
              <w:t xml:space="preserve">(64%) за </w:t>
            </w:r>
            <w:r w:rsidR="00B5317E" w:rsidRPr="000731D9">
              <w:rPr>
                <w:b/>
                <w:bCs/>
                <w:sz w:val="20"/>
                <w:szCs w:val="20"/>
                <w:lang w:val="en-US"/>
              </w:rPr>
              <w:t>I</w:t>
            </w:r>
            <w:r w:rsidR="00A4070A" w:rsidRPr="000731D9">
              <w:rPr>
                <w:b/>
                <w:bCs/>
                <w:sz w:val="20"/>
                <w:szCs w:val="20"/>
                <w:lang w:val="uk-UA"/>
              </w:rPr>
              <w:t xml:space="preserve"> </w:t>
            </w:r>
            <w:r w:rsidR="000D2DB1" w:rsidRPr="000731D9">
              <w:rPr>
                <w:b/>
                <w:bCs/>
                <w:sz w:val="20"/>
                <w:szCs w:val="20"/>
                <w:lang w:val="uk-UA"/>
              </w:rPr>
              <w:t>півріччя</w:t>
            </w:r>
            <w:r w:rsidR="00A4070A" w:rsidRPr="000731D9">
              <w:rPr>
                <w:b/>
                <w:bCs/>
                <w:sz w:val="20"/>
                <w:szCs w:val="20"/>
                <w:lang w:val="uk-UA"/>
              </w:rPr>
              <w:t xml:space="preserve"> 202</w:t>
            </w:r>
            <w:r w:rsidR="00A228EA" w:rsidRPr="000731D9">
              <w:rPr>
                <w:b/>
                <w:bCs/>
                <w:sz w:val="20"/>
                <w:szCs w:val="20"/>
                <w:lang w:val="uk-UA"/>
              </w:rPr>
              <w:t>2</w:t>
            </w:r>
            <w:r w:rsidR="00A4070A" w:rsidRPr="000731D9">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rsidR="00982654" w:rsidRPr="000731D9" w:rsidRDefault="00982654" w:rsidP="00801123">
            <w:pPr>
              <w:jc w:val="center"/>
              <w:rPr>
                <w:b/>
                <w:bCs/>
                <w:sz w:val="20"/>
                <w:szCs w:val="20"/>
                <w:lang w:val="uk-UA"/>
              </w:rPr>
            </w:pPr>
            <w:r w:rsidRPr="000731D9">
              <w:rPr>
                <w:b/>
                <w:bCs/>
                <w:sz w:val="20"/>
                <w:szCs w:val="20"/>
                <w:lang w:val="uk-UA"/>
              </w:rPr>
              <w:t>Відхилення</w:t>
            </w:r>
          </w:p>
        </w:tc>
      </w:tr>
      <w:tr w:rsidR="000731D9" w:rsidRPr="000731D9"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16"/>
                <w:szCs w:val="16"/>
                <w:lang w:val="uk-UA"/>
              </w:rPr>
            </w:pPr>
            <w:r w:rsidRPr="000731D9">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16"/>
                <w:szCs w:val="16"/>
                <w:lang w:val="uk-UA"/>
              </w:rPr>
            </w:pPr>
            <w:r w:rsidRPr="000731D9">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16"/>
                <w:szCs w:val="16"/>
                <w:lang w:val="uk-UA"/>
              </w:rPr>
            </w:pPr>
            <w:r w:rsidRPr="000731D9">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0731D9" w:rsidRDefault="00982654" w:rsidP="00801123">
            <w:pPr>
              <w:jc w:val="center"/>
              <w:rPr>
                <w:b/>
                <w:bCs/>
                <w:sz w:val="16"/>
                <w:szCs w:val="16"/>
                <w:lang w:val="uk-UA"/>
              </w:rPr>
            </w:pPr>
            <w:r w:rsidRPr="000731D9">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0731D9" w:rsidRDefault="00982654" w:rsidP="00801123">
            <w:pPr>
              <w:jc w:val="center"/>
              <w:rPr>
                <w:b/>
                <w:bCs/>
                <w:sz w:val="16"/>
                <w:szCs w:val="16"/>
                <w:lang w:val="uk-UA"/>
              </w:rPr>
            </w:pPr>
            <w:r w:rsidRPr="000731D9">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0731D9" w:rsidRDefault="00982654" w:rsidP="00801123">
            <w:pPr>
              <w:jc w:val="center"/>
              <w:rPr>
                <w:b/>
                <w:bCs/>
                <w:sz w:val="16"/>
                <w:szCs w:val="16"/>
                <w:lang w:val="uk-UA"/>
              </w:rPr>
            </w:pPr>
            <w:r w:rsidRPr="000731D9">
              <w:rPr>
                <w:b/>
                <w:bCs/>
                <w:sz w:val="16"/>
                <w:szCs w:val="16"/>
                <w:lang w:val="uk-UA"/>
              </w:rPr>
              <w:t>6</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00768F" w:rsidP="0000768F">
            <w:pPr>
              <w:jc w:val="center"/>
              <w:rPr>
                <w:lang w:val="uk-UA"/>
              </w:rPr>
            </w:pPr>
            <w:r w:rsidRPr="000731D9">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00768F">
            <w:r w:rsidRPr="000731D9">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60 416</w:t>
            </w:r>
            <w:r w:rsidRPr="000731D9">
              <w:rPr>
                <w:lang w:val="uk-UA"/>
              </w:rPr>
              <w:t>,</w:t>
            </w:r>
            <w:r w:rsidRPr="000731D9">
              <w:t xml:space="preserve"> 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60 416</w:t>
            </w:r>
            <w:r w:rsidRPr="000731D9">
              <w:rPr>
                <w:lang w:val="uk-UA"/>
              </w:rPr>
              <w:t>,</w:t>
            </w:r>
            <w:r w:rsidRPr="000731D9">
              <w:t>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0768F" w:rsidRPr="000731D9" w:rsidRDefault="00B13046" w:rsidP="002A31B3">
            <w:pPr>
              <w:jc w:val="right"/>
              <w:rPr>
                <w:lang w:val="uk-UA"/>
              </w:rPr>
            </w:pPr>
            <w:r w:rsidRPr="000731D9">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00768F" w:rsidRPr="000731D9" w:rsidRDefault="00B13046" w:rsidP="002A31B3">
            <w:pPr>
              <w:jc w:val="right"/>
              <w:rPr>
                <w:lang w:val="uk-UA"/>
              </w:rPr>
            </w:pPr>
            <w:r w:rsidRPr="000731D9">
              <w:rPr>
                <w:lang w:val="uk-UA"/>
              </w:rPr>
              <w:t>+60 416,9</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0768F" w:rsidRPr="000731D9" w:rsidRDefault="0000768F" w:rsidP="0000768F">
            <w:pPr>
              <w:jc w:val="center"/>
              <w:rPr>
                <w:lang w:val="uk-UA"/>
              </w:rPr>
            </w:pPr>
            <w:r w:rsidRPr="000731D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00768F" w:rsidRPr="000731D9" w:rsidRDefault="0000768F" w:rsidP="0000768F">
            <w:r w:rsidRPr="000731D9">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9 01</w:t>
            </w:r>
            <w:r w:rsidRPr="000731D9">
              <w:rPr>
                <w:lang w:val="uk-UA"/>
              </w:rPr>
              <w:t>6,0</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8 510</w:t>
            </w:r>
            <w:r w:rsidRPr="000731D9">
              <w:rPr>
                <w:lang w:val="uk-UA"/>
              </w:rPr>
              <w:t>,</w:t>
            </w:r>
            <w:r w:rsidRPr="000731D9">
              <w:t>8</w:t>
            </w:r>
          </w:p>
        </w:tc>
        <w:tc>
          <w:tcPr>
            <w:tcW w:w="1276" w:type="dxa"/>
            <w:tcBorders>
              <w:top w:val="single" w:sz="4" w:space="0" w:color="auto"/>
              <w:left w:val="single" w:sz="4" w:space="0" w:color="auto"/>
              <w:bottom w:val="single" w:sz="4" w:space="0" w:color="auto"/>
              <w:right w:val="single" w:sz="4" w:space="0" w:color="auto"/>
            </w:tcBorders>
            <w:vAlign w:val="center"/>
          </w:tcPr>
          <w:p w:rsidR="0000768F" w:rsidRPr="000731D9" w:rsidRDefault="00F72260" w:rsidP="002A31B3">
            <w:pPr>
              <w:jc w:val="right"/>
              <w:rPr>
                <w:lang w:val="uk-UA"/>
              </w:rPr>
            </w:pPr>
            <w:r w:rsidRPr="000731D9">
              <w:rPr>
                <w:lang w:val="uk-UA"/>
              </w:rPr>
              <w:t>6 581,1</w:t>
            </w:r>
          </w:p>
        </w:tc>
        <w:tc>
          <w:tcPr>
            <w:tcW w:w="1286" w:type="dxa"/>
            <w:tcBorders>
              <w:top w:val="single" w:sz="4" w:space="0" w:color="auto"/>
              <w:left w:val="nil"/>
              <w:bottom w:val="single" w:sz="4" w:space="0" w:color="auto"/>
              <w:right w:val="single" w:sz="4" w:space="0" w:color="auto"/>
            </w:tcBorders>
          </w:tcPr>
          <w:p w:rsidR="0000768F" w:rsidRPr="000731D9" w:rsidRDefault="00F72260" w:rsidP="002A31B3">
            <w:pPr>
              <w:jc w:val="right"/>
              <w:rPr>
                <w:lang w:val="uk-UA"/>
              </w:rPr>
            </w:pPr>
            <w:r w:rsidRPr="000731D9">
              <w:rPr>
                <w:lang w:val="uk-UA"/>
              </w:rPr>
              <w:t>+1 928,7</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0768F" w:rsidRPr="000731D9" w:rsidRDefault="0000768F" w:rsidP="0000768F">
            <w:pPr>
              <w:jc w:val="center"/>
              <w:rPr>
                <w:lang w:val="uk-UA"/>
              </w:rPr>
            </w:pPr>
            <w:r w:rsidRPr="000731D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00768F" w:rsidRPr="000731D9" w:rsidRDefault="0000768F" w:rsidP="0000768F">
            <w:r w:rsidRPr="000731D9">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9 420</w:t>
            </w:r>
            <w:r w:rsidRPr="000731D9">
              <w:rPr>
                <w:lang w:val="uk-UA"/>
              </w:rPr>
              <w:t>,</w:t>
            </w:r>
            <w:r w:rsidRPr="000731D9">
              <w:t xml:space="preserve"> 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6 366</w:t>
            </w:r>
            <w:r w:rsidRPr="000731D9">
              <w:rPr>
                <w:lang w:val="uk-UA"/>
              </w:rPr>
              <w:t>,</w:t>
            </w:r>
            <w:r w:rsidRPr="000731D9">
              <w:t>4</w:t>
            </w:r>
          </w:p>
        </w:tc>
        <w:tc>
          <w:tcPr>
            <w:tcW w:w="1276" w:type="dxa"/>
            <w:tcBorders>
              <w:top w:val="single" w:sz="4" w:space="0" w:color="auto"/>
              <w:left w:val="single" w:sz="4" w:space="0" w:color="auto"/>
              <w:bottom w:val="single" w:sz="4" w:space="0" w:color="auto"/>
              <w:right w:val="single" w:sz="4" w:space="0" w:color="auto"/>
            </w:tcBorders>
            <w:vAlign w:val="center"/>
          </w:tcPr>
          <w:p w:rsidR="0000768F" w:rsidRPr="000731D9" w:rsidRDefault="00E50301" w:rsidP="002A31B3">
            <w:pPr>
              <w:jc w:val="right"/>
              <w:rPr>
                <w:lang w:val="uk-UA"/>
              </w:rPr>
            </w:pPr>
            <w:r w:rsidRPr="000731D9">
              <w:rPr>
                <w:lang w:val="uk-UA"/>
              </w:rPr>
              <w:t>5 470,4</w:t>
            </w:r>
          </w:p>
        </w:tc>
        <w:tc>
          <w:tcPr>
            <w:tcW w:w="1286" w:type="dxa"/>
            <w:tcBorders>
              <w:top w:val="single" w:sz="4" w:space="0" w:color="auto"/>
              <w:left w:val="nil"/>
              <w:bottom w:val="single" w:sz="4" w:space="0" w:color="auto"/>
              <w:right w:val="single" w:sz="4" w:space="0" w:color="auto"/>
            </w:tcBorders>
          </w:tcPr>
          <w:p w:rsidR="0000768F" w:rsidRPr="000731D9" w:rsidRDefault="00E50301" w:rsidP="002A31B3">
            <w:pPr>
              <w:jc w:val="right"/>
              <w:rPr>
                <w:lang w:val="uk-UA"/>
              </w:rPr>
            </w:pPr>
            <w:r w:rsidRPr="000731D9">
              <w:rPr>
                <w:lang w:val="uk-UA"/>
              </w:rPr>
              <w:t>+896</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0768F" w:rsidRPr="000731D9" w:rsidRDefault="0000768F" w:rsidP="0000768F">
            <w:pPr>
              <w:jc w:val="center"/>
              <w:rPr>
                <w:lang w:val="uk-UA"/>
              </w:rPr>
            </w:pPr>
            <w:r w:rsidRPr="000731D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00768F" w:rsidRPr="000731D9" w:rsidRDefault="0000768F" w:rsidP="0000768F">
            <w:r w:rsidRPr="000731D9">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5 469</w:t>
            </w:r>
            <w:r w:rsidRPr="000731D9">
              <w:rPr>
                <w:lang w:val="uk-UA"/>
              </w:rPr>
              <w:t>,</w:t>
            </w:r>
            <w:r w:rsidRPr="000731D9">
              <w:t>6</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00768F" w:rsidRPr="000731D9" w:rsidRDefault="0000768F" w:rsidP="002A31B3">
            <w:pPr>
              <w:jc w:val="right"/>
            </w:pPr>
            <w:r w:rsidRPr="000731D9">
              <w:t>4 442</w:t>
            </w:r>
            <w:r w:rsidRPr="000731D9">
              <w:rPr>
                <w:lang w:val="uk-UA"/>
              </w:rPr>
              <w:t>,</w:t>
            </w:r>
            <w:r w:rsidRPr="000731D9">
              <w:t>9</w:t>
            </w:r>
          </w:p>
        </w:tc>
        <w:tc>
          <w:tcPr>
            <w:tcW w:w="1276" w:type="dxa"/>
            <w:tcBorders>
              <w:top w:val="single" w:sz="4" w:space="0" w:color="auto"/>
              <w:left w:val="single" w:sz="4" w:space="0" w:color="auto"/>
              <w:bottom w:val="single" w:sz="4" w:space="0" w:color="auto"/>
              <w:right w:val="single" w:sz="4" w:space="0" w:color="auto"/>
            </w:tcBorders>
            <w:vAlign w:val="center"/>
          </w:tcPr>
          <w:p w:rsidR="0000768F" w:rsidRPr="000731D9" w:rsidRDefault="00F72260" w:rsidP="002A31B3">
            <w:pPr>
              <w:jc w:val="right"/>
              <w:rPr>
                <w:lang w:val="uk-UA"/>
              </w:rPr>
            </w:pPr>
            <w:r w:rsidRPr="000731D9">
              <w:rPr>
                <w:lang w:val="uk-UA"/>
              </w:rPr>
              <w:t>2 256,6</w:t>
            </w:r>
          </w:p>
        </w:tc>
        <w:tc>
          <w:tcPr>
            <w:tcW w:w="1286" w:type="dxa"/>
            <w:tcBorders>
              <w:top w:val="single" w:sz="4" w:space="0" w:color="auto"/>
              <w:left w:val="nil"/>
              <w:bottom w:val="single" w:sz="4" w:space="0" w:color="auto"/>
              <w:right w:val="single" w:sz="4" w:space="0" w:color="auto"/>
            </w:tcBorders>
          </w:tcPr>
          <w:p w:rsidR="0000768F" w:rsidRPr="000731D9" w:rsidRDefault="00F72260" w:rsidP="002A31B3">
            <w:pPr>
              <w:jc w:val="right"/>
              <w:rPr>
                <w:lang w:val="uk-UA"/>
              </w:rPr>
            </w:pPr>
            <w:r w:rsidRPr="000731D9">
              <w:rPr>
                <w:lang w:val="uk-UA"/>
              </w:rPr>
              <w:t>-2 186,3</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0768F" w:rsidRPr="000731D9" w:rsidRDefault="0000768F" w:rsidP="0000768F">
            <w:pPr>
              <w:jc w:val="center"/>
              <w:rPr>
                <w:lang w:val="uk-UA"/>
              </w:rPr>
            </w:pPr>
            <w:r w:rsidRPr="000731D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00768F" w:rsidRPr="000731D9" w:rsidRDefault="0000768F" w:rsidP="0000768F">
            <w:r w:rsidRPr="000731D9">
              <w:t>ТОВ НВП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3 939</w:t>
            </w:r>
            <w:r w:rsidRPr="000731D9">
              <w:rPr>
                <w:lang w:val="uk-UA"/>
              </w:rPr>
              <w:t>,</w:t>
            </w:r>
            <w:r w:rsidRPr="000731D9">
              <w:t>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3 939</w:t>
            </w:r>
            <w:r w:rsidRPr="000731D9">
              <w:rPr>
                <w:lang w:val="uk-UA"/>
              </w:rPr>
              <w:t>,</w:t>
            </w:r>
            <w:r w:rsidRPr="000731D9">
              <w:t>6</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C46F99" w:rsidP="002A31B3">
            <w:pPr>
              <w:jc w:val="right"/>
              <w:rPr>
                <w:lang w:val="uk-UA"/>
              </w:rPr>
            </w:pPr>
            <w:r w:rsidRPr="000731D9">
              <w:rPr>
                <w:lang w:val="uk-UA"/>
              </w:rPr>
              <w:t>1 322,0</w:t>
            </w:r>
          </w:p>
        </w:tc>
        <w:tc>
          <w:tcPr>
            <w:tcW w:w="1286" w:type="dxa"/>
            <w:tcBorders>
              <w:top w:val="single" w:sz="4" w:space="0" w:color="auto"/>
              <w:left w:val="nil"/>
              <w:bottom w:val="single" w:sz="4" w:space="0" w:color="auto"/>
              <w:right w:val="single" w:sz="4" w:space="0" w:color="auto"/>
            </w:tcBorders>
          </w:tcPr>
          <w:p w:rsidR="0000768F" w:rsidRPr="000731D9" w:rsidRDefault="00C46F99" w:rsidP="002A31B3">
            <w:pPr>
              <w:jc w:val="right"/>
              <w:rPr>
                <w:lang w:val="uk-UA"/>
              </w:rPr>
            </w:pPr>
            <w:r w:rsidRPr="000731D9">
              <w:rPr>
                <w:lang w:val="uk-UA"/>
              </w:rPr>
              <w:t>+2 617,6</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00768F">
            <w:pPr>
              <w:jc w:val="center"/>
              <w:rPr>
                <w:lang w:val="uk-UA"/>
              </w:rPr>
            </w:pPr>
            <w:r w:rsidRPr="000731D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ПП ДЕЛІЦІЯ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3 203</w:t>
            </w:r>
            <w:r w:rsidRPr="000731D9">
              <w:rPr>
                <w:lang w:val="uk-UA"/>
              </w:rPr>
              <w:t>,</w:t>
            </w:r>
            <w:r w:rsidRPr="000731D9">
              <w:t>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3 201</w:t>
            </w:r>
            <w:r w:rsidRPr="000731D9">
              <w:rPr>
                <w:lang w:val="uk-UA"/>
              </w:rPr>
              <w:t>,9</w:t>
            </w:r>
          </w:p>
        </w:tc>
        <w:tc>
          <w:tcPr>
            <w:tcW w:w="1276" w:type="dxa"/>
            <w:tcBorders>
              <w:top w:val="single" w:sz="4" w:space="0" w:color="auto"/>
              <w:left w:val="nil"/>
              <w:bottom w:val="single" w:sz="4" w:space="0" w:color="auto"/>
              <w:right w:val="single" w:sz="4" w:space="0" w:color="auto"/>
            </w:tcBorders>
          </w:tcPr>
          <w:p w:rsidR="0000768F" w:rsidRPr="000731D9" w:rsidRDefault="00521A0E" w:rsidP="002A31B3">
            <w:pPr>
              <w:jc w:val="right"/>
            </w:pPr>
            <w:r w:rsidRPr="000731D9">
              <w:t>1 761</w:t>
            </w:r>
            <w:r w:rsidRPr="000731D9">
              <w:rPr>
                <w:lang w:val="uk-UA"/>
              </w:rPr>
              <w:t>,</w:t>
            </w:r>
            <w:r w:rsidRPr="000731D9">
              <w:t>3</w:t>
            </w:r>
          </w:p>
        </w:tc>
        <w:tc>
          <w:tcPr>
            <w:tcW w:w="1286" w:type="dxa"/>
            <w:tcBorders>
              <w:top w:val="single" w:sz="4" w:space="0" w:color="auto"/>
              <w:left w:val="nil"/>
              <w:bottom w:val="single" w:sz="4" w:space="0" w:color="auto"/>
              <w:right w:val="single" w:sz="4" w:space="0" w:color="auto"/>
            </w:tcBorders>
          </w:tcPr>
          <w:p w:rsidR="0000768F" w:rsidRPr="000731D9" w:rsidRDefault="00E85491" w:rsidP="002A31B3">
            <w:pPr>
              <w:jc w:val="right"/>
              <w:rPr>
                <w:lang w:val="uk-UA"/>
              </w:rPr>
            </w:pPr>
            <w:r w:rsidRPr="000731D9">
              <w:rPr>
                <w:lang w:val="uk-UA"/>
              </w:rPr>
              <w:t>+1 440,6</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00768F" w:rsidP="0000768F">
            <w:pPr>
              <w:jc w:val="center"/>
              <w:rPr>
                <w:lang w:val="uk-UA"/>
              </w:rPr>
            </w:pPr>
            <w:r w:rsidRPr="000731D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2 688</w:t>
            </w:r>
            <w:r w:rsidRPr="000731D9">
              <w:rPr>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2 688</w:t>
            </w:r>
            <w:r w:rsidRPr="000731D9">
              <w:rPr>
                <w:lang w:val="uk-UA"/>
              </w:rPr>
              <w:t>,</w:t>
            </w:r>
            <w:r w:rsidRPr="000731D9">
              <w:t>1</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E85491" w:rsidP="002A31B3">
            <w:pPr>
              <w:jc w:val="right"/>
              <w:rPr>
                <w:lang w:val="uk-UA"/>
              </w:rPr>
            </w:pPr>
            <w:r w:rsidRPr="000731D9">
              <w:rPr>
                <w:lang w:val="uk-UA"/>
              </w:rPr>
              <w:t>1 084,8</w:t>
            </w:r>
          </w:p>
        </w:tc>
        <w:tc>
          <w:tcPr>
            <w:tcW w:w="1286" w:type="dxa"/>
            <w:tcBorders>
              <w:top w:val="single" w:sz="4" w:space="0" w:color="auto"/>
              <w:left w:val="nil"/>
              <w:bottom w:val="single" w:sz="4" w:space="0" w:color="auto"/>
              <w:right w:val="single" w:sz="4" w:space="0" w:color="auto"/>
            </w:tcBorders>
          </w:tcPr>
          <w:p w:rsidR="0000768F" w:rsidRPr="000731D9" w:rsidRDefault="00E85491" w:rsidP="002A31B3">
            <w:pPr>
              <w:jc w:val="right"/>
              <w:rPr>
                <w:lang w:val="uk-UA"/>
              </w:rPr>
            </w:pPr>
            <w:r w:rsidRPr="000731D9">
              <w:rPr>
                <w:lang w:val="uk-UA"/>
              </w:rPr>
              <w:t>+1 603,3</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00768F" w:rsidP="0000768F">
            <w:pPr>
              <w:jc w:val="center"/>
              <w:rPr>
                <w:lang w:val="uk-UA"/>
              </w:rPr>
            </w:pPr>
            <w:r w:rsidRPr="000731D9">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w:t>
            </w:r>
            <w:r w:rsidR="009E4947" w:rsidRPr="000731D9">
              <w:t> </w:t>
            </w:r>
            <w:r w:rsidRPr="000731D9">
              <w:t>097</w:t>
            </w:r>
            <w:r w:rsidR="009E4947" w:rsidRPr="000731D9">
              <w:rPr>
                <w:lang w:val="uk-UA"/>
              </w:rPr>
              <w:t>,</w:t>
            </w:r>
            <w:r w:rsidRPr="000731D9">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w:t>
            </w:r>
            <w:r w:rsidR="009E4947" w:rsidRPr="000731D9">
              <w:t> </w:t>
            </w:r>
            <w:r w:rsidRPr="000731D9">
              <w:t>096</w:t>
            </w:r>
            <w:r w:rsidR="009E4947" w:rsidRPr="000731D9">
              <w:rPr>
                <w:lang w:val="uk-UA"/>
              </w:rPr>
              <w:t>,</w:t>
            </w:r>
            <w:r w:rsidRPr="000731D9">
              <w:t>4</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E85491" w:rsidP="002A31B3">
            <w:pPr>
              <w:jc w:val="right"/>
              <w:rPr>
                <w:lang w:val="uk-UA"/>
              </w:rPr>
            </w:pPr>
            <w:r w:rsidRPr="000731D9">
              <w:rPr>
                <w:lang w:val="uk-UA"/>
              </w:rPr>
              <w:t>1 982,6</w:t>
            </w:r>
          </w:p>
        </w:tc>
        <w:tc>
          <w:tcPr>
            <w:tcW w:w="1286" w:type="dxa"/>
            <w:tcBorders>
              <w:top w:val="single" w:sz="4" w:space="0" w:color="auto"/>
              <w:left w:val="nil"/>
              <w:bottom w:val="single" w:sz="4" w:space="0" w:color="auto"/>
              <w:right w:val="single" w:sz="4" w:space="0" w:color="auto"/>
            </w:tcBorders>
          </w:tcPr>
          <w:p w:rsidR="0000768F" w:rsidRPr="000731D9" w:rsidRDefault="00E85491" w:rsidP="002A31B3">
            <w:pPr>
              <w:jc w:val="right"/>
              <w:rPr>
                <w:lang w:val="uk-UA"/>
              </w:rPr>
            </w:pPr>
            <w:r w:rsidRPr="000731D9">
              <w:rPr>
                <w:lang w:val="uk-UA"/>
              </w:rPr>
              <w:t>+113,8</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E85491" w:rsidP="0000768F">
            <w:pPr>
              <w:jc w:val="center"/>
              <w:rPr>
                <w:lang w:val="uk-UA"/>
              </w:rPr>
            </w:pPr>
            <w:r w:rsidRPr="000731D9">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Київський обласний військовий комісаріат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919</w:t>
            </w:r>
            <w:r w:rsidR="009E4947" w:rsidRPr="000731D9">
              <w:rPr>
                <w:lang w:val="uk-UA"/>
              </w:rPr>
              <w:t>,</w:t>
            </w:r>
            <w:r w:rsidRPr="000731D9">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919</w:t>
            </w:r>
            <w:r w:rsidR="009E4947" w:rsidRPr="000731D9">
              <w:rPr>
                <w:lang w:val="uk-UA"/>
              </w:rPr>
              <w:t>,</w:t>
            </w:r>
            <w:r w:rsidRPr="000731D9">
              <w:t>2</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D20011" w:rsidP="002A31B3">
            <w:pPr>
              <w:jc w:val="right"/>
              <w:rPr>
                <w:lang w:val="uk-UA"/>
              </w:rPr>
            </w:pPr>
            <w:r w:rsidRPr="000731D9">
              <w:rPr>
                <w:lang w:val="uk-UA"/>
              </w:rPr>
              <w:t>14 109,8</w:t>
            </w:r>
          </w:p>
        </w:tc>
        <w:tc>
          <w:tcPr>
            <w:tcW w:w="1286" w:type="dxa"/>
            <w:tcBorders>
              <w:top w:val="single" w:sz="4" w:space="0" w:color="auto"/>
              <w:left w:val="nil"/>
              <w:bottom w:val="single" w:sz="4" w:space="0" w:color="auto"/>
              <w:right w:val="single" w:sz="4" w:space="0" w:color="auto"/>
            </w:tcBorders>
          </w:tcPr>
          <w:p w:rsidR="0000768F" w:rsidRPr="000731D9" w:rsidRDefault="00D20011" w:rsidP="002A31B3">
            <w:pPr>
              <w:jc w:val="right"/>
              <w:rPr>
                <w:lang w:val="uk-UA"/>
              </w:rPr>
            </w:pPr>
            <w:r w:rsidRPr="000731D9">
              <w:rPr>
                <w:lang w:val="uk-UA"/>
              </w:rPr>
              <w:t>-12 190,7</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В/ч 3027</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831</w:t>
            </w:r>
            <w:r w:rsidR="009E4947" w:rsidRPr="000731D9">
              <w:rPr>
                <w:lang w:val="uk-UA"/>
              </w:rPr>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831</w:t>
            </w:r>
            <w:r w:rsidR="009E4947" w:rsidRPr="000731D9">
              <w:rPr>
                <w:lang w:val="uk-UA"/>
              </w:rPr>
              <w:t>,7</w:t>
            </w:r>
          </w:p>
        </w:tc>
        <w:tc>
          <w:tcPr>
            <w:tcW w:w="1276" w:type="dxa"/>
            <w:tcBorders>
              <w:top w:val="single" w:sz="4" w:space="0" w:color="auto"/>
              <w:left w:val="nil"/>
              <w:bottom w:val="single" w:sz="4" w:space="0" w:color="auto"/>
              <w:right w:val="single" w:sz="4" w:space="0" w:color="auto"/>
            </w:tcBorders>
          </w:tcPr>
          <w:p w:rsidR="0000768F" w:rsidRPr="000731D9" w:rsidRDefault="008345C4" w:rsidP="002A31B3">
            <w:pPr>
              <w:jc w:val="right"/>
              <w:rPr>
                <w:lang w:val="uk-UA"/>
              </w:rPr>
            </w:pPr>
            <w:r w:rsidRPr="000731D9">
              <w:rPr>
                <w:lang w:val="uk-UA"/>
              </w:rPr>
              <w:t>0,0</w:t>
            </w:r>
          </w:p>
        </w:tc>
        <w:tc>
          <w:tcPr>
            <w:tcW w:w="1286" w:type="dxa"/>
            <w:tcBorders>
              <w:top w:val="single" w:sz="4" w:space="0" w:color="auto"/>
              <w:left w:val="nil"/>
              <w:bottom w:val="single" w:sz="4" w:space="0" w:color="auto"/>
              <w:right w:val="single" w:sz="4" w:space="0" w:color="auto"/>
            </w:tcBorders>
          </w:tcPr>
          <w:p w:rsidR="0000768F" w:rsidRPr="000731D9" w:rsidRDefault="008345C4" w:rsidP="002A31B3">
            <w:pPr>
              <w:jc w:val="right"/>
              <w:rPr>
                <w:lang w:val="uk-UA"/>
              </w:rPr>
            </w:pPr>
            <w:r w:rsidRPr="000731D9">
              <w:rPr>
                <w:lang w:val="uk-UA"/>
              </w:rPr>
              <w:t>+1 831,7</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ГУНП в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816</w:t>
            </w:r>
            <w:r w:rsidR="009E4947" w:rsidRPr="000731D9">
              <w:rPr>
                <w:lang w:val="uk-UA"/>
              </w:rPr>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784</w:t>
            </w:r>
            <w:r w:rsidR="009E4947" w:rsidRPr="000731D9">
              <w:rPr>
                <w:lang w:val="uk-UA"/>
              </w:rPr>
              <w:t>,</w:t>
            </w:r>
            <w:r w:rsidRPr="000731D9">
              <w:t>1</w:t>
            </w:r>
          </w:p>
        </w:tc>
        <w:tc>
          <w:tcPr>
            <w:tcW w:w="1276" w:type="dxa"/>
            <w:tcBorders>
              <w:top w:val="single" w:sz="4" w:space="0" w:color="auto"/>
              <w:left w:val="nil"/>
              <w:bottom w:val="single" w:sz="4" w:space="0" w:color="auto"/>
              <w:right w:val="single" w:sz="4" w:space="0" w:color="auto"/>
            </w:tcBorders>
          </w:tcPr>
          <w:p w:rsidR="0000768F" w:rsidRPr="000731D9" w:rsidRDefault="00C76B53" w:rsidP="002A31B3">
            <w:pPr>
              <w:jc w:val="right"/>
            </w:pPr>
            <w:r w:rsidRPr="000731D9">
              <w:t>2 898</w:t>
            </w:r>
            <w:r w:rsidRPr="000731D9">
              <w:rPr>
                <w:lang w:val="uk-UA"/>
              </w:rPr>
              <w:t>,</w:t>
            </w:r>
            <w:r w:rsidRPr="000731D9">
              <w:t>2</w:t>
            </w:r>
          </w:p>
        </w:tc>
        <w:tc>
          <w:tcPr>
            <w:tcW w:w="1286" w:type="dxa"/>
            <w:tcBorders>
              <w:top w:val="single" w:sz="4" w:space="0" w:color="auto"/>
              <w:left w:val="nil"/>
              <w:bottom w:val="single" w:sz="4" w:space="0" w:color="auto"/>
              <w:right w:val="single" w:sz="4" w:space="0" w:color="auto"/>
            </w:tcBorders>
          </w:tcPr>
          <w:p w:rsidR="0000768F" w:rsidRPr="000731D9" w:rsidRDefault="00101224" w:rsidP="002A31B3">
            <w:pPr>
              <w:jc w:val="right"/>
              <w:rPr>
                <w:lang w:val="uk-UA"/>
              </w:rPr>
            </w:pPr>
            <w:r w:rsidRPr="000731D9">
              <w:rPr>
                <w:lang w:val="uk-UA"/>
              </w:rPr>
              <w:t>-1 114,1</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БФ "Твоя опора"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620</w:t>
            </w:r>
            <w:r w:rsidR="009E4947" w:rsidRPr="000731D9">
              <w:rPr>
                <w:lang w:val="uk-UA"/>
              </w:rPr>
              <w:t>,</w:t>
            </w:r>
            <w:r w:rsidRPr="000731D9">
              <w:t>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9E4947" w:rsidRPr="000731D9">
              <w:t> </w:t>
            </w:r>
            <w:r w:rsidRPr="000731D9">
              <w:t>620</w:t>
            </w:r>
            <w:r w:rsidR="009E4947" w:rsidRPr="000731D9">
              <w:rPr>
                <w:lang w:val="uk-UA"/>
              </w:rPr>
              <w:t>,</w:t>
            </w:r>
            <w:r w:rsidRPr="000731D9">
              <w:t>8</w:t>
            </w:r>
          </w:p>
        </w:tc>
        <w:tc>
          <w:tcPr>
            <w:tcW w:w="1276" w:type="dxa"/>
            <w:tcBorders>
              <w:top w:val="single" w:sz="4" w:space="0" w:color="auto"/>
              <w:left w:val="nil"/>
              <w:bottom w:val="single" w:sz="4" w:space="0" w:color="auto"/>
              <w:right w:val="single" w:sz="4" w:space="0" w:color="auto"/>
            </w:tcBorders>
          </w:tcPr>
          <w:p w:rsidR="0000768F" w:rsidRPr="000731D9" w:rsidRDefault="00C76B53" w:rsidP="002A31B3">
            <w:pPr>
              <w:jc w:val="right"/>
              <w:rPr>
                <w:lang w:val="uk-UA"/>
              </w:rPr>
            </w:pPr>
            <w:r w:rsidRPr="000731D9">
              <w:rPr>
                <w:lang w:val="uk-UA"/>
              </w:rPr>
              <w:t>141,4</w:t>
            </w:r>
          </w:p>
        </w:tc>
        <w:tc>
          <w:tcPr>
            <w:tcW w:w="1286" w:type="dxa"/>
            <w:tcBorders>
              <w:top w:val="single" w:sz="4" w:space="0" w:color="auto"/>
              <w:left w:val="nil"/>
              <w:bottom w:val="single" w:sz="4" w:space="0" w:color="auto"/>
              <w:right w:val="single" w:sz="4" w:space="0" w:color="auto"/>
            </w:tcBorders>
          </w:tcPr>
          <w:p w:rsidR="0000768F" w:rsidRPr="000731D9" w:rsidRDefault="00101224" w:rsidP="002A31B3">
            <w:pPr>
              <w:jc w:val="right"/>
              <w:rPr>
                <w:lang w:val="uk-UA"/>
              </w:rPr>
            </w:pPr>
            <w:r w:rsidRPr="000731D9">
              <w:rPr>
                <w:lang w:val="uk-UA"/>
              </w:rPr>
              <w:t>+1</w:t>
            </w:r>
            <w:r w:rsidR="009D292A" w:rsidRPr="000731D9">
              <w:rPr>
                <w:lang w:val="uk-UA"/>
              </w:rPr>
              <w:t xml:space="preserve"> </w:t>
            </w:r>
            <w:r w:rsidRPr="000731D9">
              <w:rPr>
                <w:lang w:val="uk-UA"/>
              </w:rPr>
              <w:t>479,4</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ПКПП Теплокомунсервіс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706C86" w:rsidRPr="000731D9">
              <w:t> </w:t>
            </w:r>
            <w:r w:rsidRPr="000731D9">
              <w:t>436</w:t>
            </w:r>
            <w:r w:rsidR="00706C86" w:rsidRPr="000731D9">
              <w:rPr>
                <w:lang w:val="uk-UA"/>
              </w:rPr>
              <w:t>,</w:t>
            </w:r>
            <w:r w:rsidRPr="000731D9">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706C86" w:rsidRPr="000731D9">
              <w:t> </w:t>
            </w:r>
            <w:r w:rsidRPr="000731D9">
              <w:t>402</w:t>
            </w:r>
            <w:r w:rsidR="00706C86" w:rsidRPr="000731D9">
              <w:rPr>
                <w:lang w:val="uk-UA"/>
              </w:rPr>
              <w:t>,7</w:t>
            </w:r>
          </w:p>
        </w:tc>
        <w:tc>
          <w:tcPr>
            <w:tcW w:w="1276" w:type="dxa"/>
            <w:tcBorders>
              <w:top w:val="single" w:sz="4" w:space="0" w:color="auto"/>
              <w:left w:val="nil"/>
              <w:bottom w:val="single" w:sz="4" w:space="0" w:color="auto"/>
              <w:right w:val="single" w:sz="4" w:space="0" w:color="auto"/>
            </w:tcBorders>
          </w:tcPr>
          <w:p w:rsidR="0000768F" w:rsidRPr="000731D9" w:rsidRDefault="009840EE" w:rsidP="002A31B3">
            <w:pPr>
              <w:jc w:val="right"/>
            </w:pPr>
            <w:r w:rsidRPr="000731D9">
              <w:t>1 233</w:t>
            </w:r>
            <w:r w:rsidRPr="000731D9">
              <w:rPr>
                <w:lang w:val="uk-UA"/>
              </w:rPr>
              <w:t>,</w:t>
            </w:r>
            <w:r w:rsidRPr="000731D9">
              <w:t>2</w:t>
            </w:r>
          </w:p>
        </w:tc>
        <w:tc>
          <w:tcPr>
            <w:tcW w:w="1286" w:type="dxa"/>
            <w:tcBorders>
              <w:top w:val="single" w:sz="4" w:space="0" w:color="auto"/>
              <w:left w:val="nil"/>
              <w:bottom w:val="single" w:sz="4" w:space="0" w:color="auto"/>
              <w:right w:val="single" w:sz="4" w:space="0" w:color="auto"/>
            </w:tcBorders>
          </w:tcPr>
          <w:p w:rsidR="0000768F" w:rsidRPr="000731D9" w:rsidRDefault="009840EE" w:rsidP="002A31B3">
            <w:pPr>
              <w:jc w:val="right"/>
              <w:rPr>
                <w:lang w:val="uk-UA"/>
              </w:rPr>
            </w:pPr>
            <w:r w:rsidRPr="000731D9">
              <w:rPr>
                <w:lang w:val="uk-UA"/>
              </w:rPr>
              <w:t>+169,5</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253</w:t>
            </w:r>
            <w:r w:rsidR="00C14FFB" w:rsidRPr="000731D9">
              <w:rPr>
                <w:lang w:val="uk-UA"/>
              </w:rPr>
              <w:t>,9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253</w:t>
            </w:r>
            <w:r w:rsidR="00C14FFB" w:rsidRPr="000731D9">
              <w:rPr>
                <w:lang w:val="uk-UA"/>
              </w:rPr>
              <w:t>,</w:t>
            </w:r>
            <w:r w:rsidRPr="000731D9">
              <w:t>9</w:t>
            </w:r>
          </w:p>
        </w:tc>
        <w:tc>
          <w:tcPr>
            <w:tcW w:w="1276" w:type="dxa"/>
            <w:tcBorders>
              <w:top w:val="single" w:sz="4" w:space="0" w:color="auto"/>
              <w:left w:val="nil"/>
              <w:bottom w:val="single" w:sz="4" w:space="0" w:color="auto"/>
              <w:right w:val="single" w:sz="4" w:space="0" w:color="auto"/>
            </w:tcBorders>
          </w:tcPr>
          <w:p w:rsidR="0000768F" w:rsidRPr="000731D9" w:rsidRDefault="004F7ADF" w:rsidP="002A31B3">
            <w:pPr>
              <w:jc w:val="right"/>
            </w:pPr>
            <w:r w:rsidRPr="000731D9">
              <w:t>716</w:t>
            </w:r>
            <w:r w:rsidRPr="000731D9">
              <w:rPr>
                <w:lang w:val="uk-UA"/>
              </w:rPr>
              <w:t>,2</w:t>
            </w:r>
          </w:p>
        </w:tc>
        <w:tc>
          <w:tcPr>
            <w:tcW w:w="1286" w:type="dxa"/>
            <w:tcBorders>
              <w:top w:val="single" w:sz="4" w:space="0" w:color="auto"/>
              <w:left w:val="nil"/>
              <w:bottom w:val="single" w:sz="4" w:space="0" w:color="auto"/>
              <w:right w:val="single" w:sz="4" w:space="0" w:color="auto"/>
            </w:tcBorders>
          </w:tcPr>
          <w:p w:rsidR="0000768F" w:rsidRPr="000731D9" w:rsidRDefault="004F7ADF" w:rsidP="002A31B3">
            <w:pPr>
              <w:jc w:val="right"/>
              <w:rPr>
                <w:lang w:val="uk-UA"/>
              </w:rPr>
            </w:pPr>
            <w:r w:rsidRPr="000731D9">
              <w:rPr>
                <w:lang w:val="uk-UA"/>
              </w:rPr>
              <w:t>+537,7</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ТОВ"АТБ-маркет"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2</w:t>
            </w:r>
            <w:r w:rsidR="00C14FFB" w:rsidRPr="000731D9">
              <w:t> </w:t>
            </w:r>
            <w:r w:rsidRPr="000731D9">
              <w:t>432</w:t>
            </w:r>
            <w:r w:rsidR="00C14FFB" w:rsidRPr="000731D9">
              <w:rPr>
                <w:lang w:val="uk-UA"/>
              </w:rPr>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153</w:t>
            </w:r>
            <w:r w:rsidR="00C14FFB" w:rsidRPr="000731D9">
              <w:rPr>
                <w:lang w:val="uk-UA"/>
              </w:rPr>
              <w:t>,9</w:t>
            </w:r>
          </w:p>
        </w:tc>
        <w:tc>
          <w:tcPr>
            <w:tcW w:w="1276" w:type="dxa"/>
            <w:tcBorders>
              <w:top w:val="single" w:sz="4" w:space="0" w:color="auto"/>
              <w:left w:val="nil"/>
              <w:bottom w:val="single" w:sz="4" w:space="0" w:color="auto"/>
              <w:right w:val="single" w:sz="4" w:space="0" w:color="auto"/>
            </w:tcBorders>
          </w:tcPr>
          <w:p w:rsidR="0000768F" w:rsidRPr="000731D9" w:rsidRDefault="00313249" w:rsidP="002A31B3">
            <w:pPr>
              <w:jc w:val="right"/>
              <w:rPr>
                <w:lang w:val="uk-UA"/>
              </w:rPr>
            </w:pPr>
            <w:r w:rsidRPr="000731D9">
              <w:t>898,</w:t>
            </w:r>
            <w:r w:rsidRPr="000731D9">
              <w:rPr>
                <w:lang w:val="uk-UA"/>
              </w:rPr>
              <w:t>0</w:t>
            </w:r>
          </w:p>
        </w:tc>
        <w:tc>
          <w:tcPr>
            <w:tcW w:w="1286" w:type="dxa"/>
            <w:tcBorders>
              <w:top w:val="single" w:sz="4" w:space="0" w:color="auto"/>
              <w:left w:val="nil"/>
              <w:bottom w:val="single" w:sz="4" w:space="0" w:color="auto"/>
              <w:right w:val="single" w:sz="4" w:space="0" w:color="auto"/>
            </w:tcBorders>
          </w:tcPr>
          <w:p w:rsidR="0000768F" w:rsidRPr="000731D9" w:rsidRDefault="00313249" w:rsidP="002A31B3">
            <w:pPr>
              <w:jc w:val="right"/>
              <w:rPr>
                <w:lang w:val="uk-UA"/>
              </w:rPr>
            </w:pPr>
            <w:r w:rsidRPr="000731D9">
              <w:rPr>
                <w:lang w:val="uk-UA"/>
              </w:rPr>
              <w:t>+255,9</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t>1</w:t>
            </w:r>
            <w:r w:rsidR="00E85491" w:rsidRPr="000731D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141</w:t>
            </w:r>
            <w:r w:rsidR="00C14FFB" w:rsidRPr="000731D9">
              <w:rPr>
                <w:lang w:val="uk-UA"/>
              </w:rPr>
              <w:t>,9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141</w:t>
            </w:r>
            <w:r w:rsidR="00C14FFB" w:rsidRPr="000731D9">
              <w:rPr>
                <w:lang w:val="uk-UA"/>
              </w:rPr>
              <w:t>,9</w:t>
            </w:r>
          </w:p>
        </w:tc>
        <w:tc>
          <w:tcPr>
            <w:tcW w:w="1276" w:type="dxa"/>
            <w:tcBorders>
              <w:top w:val="single" w:sz="4" w:space="0" w:color="auto"/>
              <w:left w:val="nil"/>
              <w:bottom w:val="single" w:sz="4" w:space="0" w:color="auto"/>
              <w:right w:val="single" w:sz="4" w:space="0" w:color="auto"/>
            </w:tcBorders>
          </w:tcPr>
          <w:p w:rsidR="0000768F" w:rsidRPr="000731D9" w:rsidRDefault="00313249" w:rsidP="002A31B3">
            <w:pPr>
              <w:jc w:val="right"/>
              <w:rPr>
                <w:lang w:val="uk-UA"/>
              </w:rPr>
            </w:pPr>
            <w:r w:rsidRPr="000731D9">
              <w:rPr>
                <w:lang w:val="uk-UA"/>
              </w:rPr>
              <w:t>1 171,9</w:t>
            </w:r>
          </w:p>
        </w:tc>
        <w:tc>
          <w:tcPr>
            <w:tcW w:w="1286" w:type="dxa"/>
            <w:tcBorders>
              <w:top w:val="single" w:sz="4" w:space="0" w:color="auto"/>
              <w:left w:val="nil"/>
              <w:bottom w:val="single" w:sz="4" w:space="0" w:color="auto"/>
              <w:right w:val="single" w:sz="4" w:space="0" w:color="auto"/>
            </w:tcBorders>
          </w:tcPr>
          <w:p w:rsidR="0000768F" w:rsidRPr="000731D9" w:rsidRDefault="00313249" w:rsidP="002A31B3">
            <w:pPr>
              <w:jc w:val="right"/>
              <w:rPr>
                <w:lang w:val="uk-UA"/>
              </w:rPr>
            </w:pPr>
            <w:r w:rsidRPr="000731D9">
              <w:rPr>
                <w:lang w:val="uk-UA"/>
              </w:rPr>
              <w:t>-30,0</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00768F" w:rsidP="00E85491">
            <w:pPr>
              <w:jc w:val="center"/>
              <w:rPr>
                <w:lang w:val="uk-UA"/>
              </w:rPr>
            </w:pPr>
            <w:r w:rsidRPr="000731D9">
              <w:rPr>
                <w:lang w:val="uk-UA"/>
              </w:rPr>
              <w:t>1</w:t>
            </w:r>
            <w:r w:rsidR="00E85491" w:rsidRPr="000731D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ТОВ "Техпромсервіс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351</w:t>
            </w:r>
            <w:r w:rsidR="00C14FFB" w:rsidRPr="000731D9">
              <w:rPr>
                <w:lang w:val="uk-UA"/>
              </w:rPr>
              <w:t>,</w:t>
            </w:r>
            <w:r w:rsidRPr="000731D9">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132</w:t>
            </w:r>
            <w:r w:rsidR="00C14FFB" w:rsidRPr="000731D9">
              <w:rPr>
                <w:lang w:val="uk-UA"/>
              </w:rPr>
              <w:t>,</w:t>
            </w:r>
            <w:r w:rsidRPr="000731D9">
              <w:t>3</w:t>
            </w:r>
          </w:p>
        </w:tc>
        <w:tc>
          <w:tcPr>
            <w:tcW w:w="1276" w:type="dxa"/>
            <w:tcBorders>
              <w:top w:val="single" w:sz="4" w:space="0" w:color="auto"/>
              <w:left w:val="nil"/>
              <w:bottom w:val="single" w:sz="4" w:space="0" w:color="auto"/>
              <w:right w:val="single" w:sz="4" w:space="0" w:color="auto"/>
            </w:tcBorders>
          </w:tcPr>
          <w:p w:rsidR="0000768F" w:rsidRPr="000731D9" w:rsidRDefault="006F39FA" w:rsidP="002A31B3">
            <w:pPr>
              <w:jc w:val="right"/>
            </w:pPr>
            <w:r w:rsidRPr="000731D9">
              <w:t>821</w:t>
            </w:r>
            <w:r w:rsidRPr="000731D9">
              <w:rPr>
                <w:lang w:val="uk-UA"/>
              </w:rPr>
              <w:t>,4</w:t>
            </w:r>
          </w:p>
        </w:tc>
        <w:tc>
          <w:tcPr>
            <w:tcW w:w="1286" w:type="dxa"/>
            <w:tcBorders>
              <w:top w:val="single" w:sz="4" w:space="0" w:color="auto"/>
              <w:left w:val="nil"/>
              <w:bottom w:val="single" w:sz="4" w:space="0" w:color="auto"/>
              <w:right w:val="single" w:sz="4" w:space="0" w:color="auto"/>
            </w:tcBorders>
          </w:tcPr>
          <w:p w:rsidR="0000768F" w:rsidRPr="000731D9" w:rsidRDefault="006F39FA" w:rsidP="002A31B3">
            <w:pPr>
              <w:jc w:val="right"/>
              <w:rPr>
                <w:lang w:val="uk-UA"/>
              </w:rPr>
            </w:pPr>
            <w:r w:rsidRPr="000731D9">
              <w:rPr>
                <w:lang w:val="uk-UA"/>
              </w:rPr>
              <w:t>+310,9</w:t>
            </w:r>
          </w:p>
        </w:tc>
      </w:tr>
      <w:tr w:rsidR="000731D9" w:rsidRPr="000731D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0768F" w:rsidRPr="000731D9" w:rsidRDefault="0000768F" w:rsidP="00E85491">
            <w:pPr>
              <w:jc w:val="center"/>
              <w:rPr>
                <w:lang w:val="uk-UA"/>
              </w:rPr>
            </w:pPr>
            <w:r w:rsidRPr="000731D9">
              <w:rPr>
                <w:lang w:val="uk-UA"/>
              </w:rPr>
              <w:t>1</w:t>
            </w:r>
            <w:r w:rsidR="00E85491" w:rsidRPr="000731D9">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Киівська обласна прокуратура (за Бучу)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023</w:t>
            </w:r>
            <w:r w:rsidR="00C14FFB" w:rsidRPr="000731D9">
              <w:rPr>
                <w:lang w:val="uk-UA"/>
              </w:rPr>
              <w:t>,6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1</w:t>
            </w:r>
            <w:r w:rsidR="00C14FFB" w:rsidRPr="000731D9">
              <w:t> </w:t>
            </w:r>
            <w:r w:rsidRPr="000731D9">
              <w:t>023</w:t>
            </w:r>
            <w:r w:rsidR="00C14FFB" w:rsidRPr="000731D9">
              <w:rPr>
                <w:lang w:val="uk-UA"/>
              </w:rPr>
              <w:t>,6</w:t>
            </w:r>
          </w:p>
        </w:tc>
        <w:tc>
          <w:tcPr>
            <w:tcW w:w="1276" w:type="dxa"/>
            <w:tcBorders>
              <w:top w:val="single" w:sz="4" w:space="0" w:color="auto"/>
              <w:left w:val="nil"/>
              <w:bottom w:val="single" w:sz="4" w:space="0" w:color="auto"/>
              <w:right w:val="single" w:sz="4" w:space="0" w:color="auto"/>
            </w:tcBorders>
            <w:vAlign w:val="center"/>
          </w:tcPr>
          <w:p w:rsidR="0000768F" w:rsidRPr="000731D9" w:rsidRDefault="006F39FA" w:rsidP="002A31B3">
            <w:pPr>
              <w:jc w:val="right"/>
              <w:rPr>
                <w:lang w:val="uk-UA"/>
              </w:rPr>
            </w:pPr>
            <w:r w:rsidRPr="000731D9">
              <w:rPr>
                <w:lang w:val="uk-UA"/>
              </w:rPr>
              <w:t>962,4</w:t>
            </w:r>
          </w:p>
        </w:tc>
        <w:tc>
          <w:tcPr>
            <w:tcW w:w="1286" w:type="dxa"/>
            <w:tcBorders>
              <w:top w:val="single" w:sz="4" w:space="0" w:color="auto"/>
              <w:left w:val="nil"/>
              <w:bottom w:val="single" w:sz="4" w:space="0" w:color="auto"/>
              <w:right w:val="single" w:sz="4" w:space="0" w:color="auto"/>
            </w:tcBorders>
          </w:tcPr>
          <w:p w:rsidR="0000768F" w:rsidRPr="000731D9" w:rsidRDefault="006F39FA" w:rsidP="002A31B3">
            <w:pPr>
              <w:jc w:val="right"/>
              <w:rPr>
                <w:lang w:val="uk-UA"/>
              </w:rPr>
            </w:pPr>
            <w:r w:rsidRPr="000731D9">
              <w:rPr>
                <w:lang w:val="uk-UA"/>
              </w:rPr>
              <w:t>+61,2</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0768F" w:rsidRPr="000731D9" w:rsidRDefault="00E85491" w:rsidP="00E85491">
            <w:pPr>
              <w:jc w:val="center"/>
            </w:pPr>
            <w:r w:rsidRPr="000731D9">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00768F">
            <w:r w:rsidRPr="000731D9">
              <w:t>Бучанська РДА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980</w:t>
            </w:r>
            <w:r w:rsidR="00C14FFB" w:rsidRPr="000731D9">
              <w:rPr>
                <w:lang w:val="uk-UA"/>
              </w:rPr>
              <w:t>,</w:t>
            </w:r>
            <w:r w:rsidRPr="000731D9">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0768F" w:rsidRPr="000731D9" w:rsidRDefault="0000768F" w:rsidP="002A31B3">
            <w:pPr>
              <w:jc w:val="right"/>
            </w:pPr>
            <w:r w:rsidRPr="000731D9">
              <w:t>980</w:t>
            </w:r>
            <w:r w:rsidR="00C14FFB" w:rsidRPr="000731D9">
              <w:rPr>
                <w:lang w:val="uk-UA"/>
              </w:rPr>
              <w:t>,</w:t>
            </w:r>
            <w:r w:rsidRPr="000731D9">
              <w:t>4</w:t>
            </w:r>
          </w:p>
        </w:tc>
        <w:tc>
          <w:tcPr>
            <w:tcW w:w="1276" w:type="dxa"/>
            <w:tcBorders>
              <w:top w:val="single" w:sz="4" w:space="0" w:color="auto"/>
              <w:left w:val="nil"/>
              <w:bottom w:val="single" w:sz="4" w:space="0" w:color="auto"/>
              <w:right w:val="single" w:sz="4" w:space="0" w:color="auto"/>
            </w:tcBorders>
          </w:tcPr>
          <w:p w:rsidR="0000768F" w:rsidRPr="000731D9" w:rsidRDefault="008D4EFA" w:rsidP="002A31B3">
            <w:pPr>
              <w:jc w:val="right"/>
            </w:pPr>
            <w:r w:rsidRPr="000731D9">
              <w:t>661</w:t>
            </w:r>
            <w:r w:rsidRPr="000731D9">
              <w:rPr>
                <w:lang w:val="uk-UA"/>
              </w:rPr>
              <w:t>,</w:t>
            </w:r>
            <w:r w:rsidRPr="000731D9">
              <w:t>0</w:t>
            </w:r>
          </w:p>
        </w:tc>
        <w:tc>
          <w:tcPr>
            <w:tcW w:w="1286" w:type="dxa"/>
            <w:tcBorders>
              <w:top w:val="single" w:sz="4" w:space="0" w:color="auto"/>
              <w:left w:val="nil"/>
              <w:bottom w:val="single" w:sz="4" w:space="0" w:color="auto"/>
              <w:right w:val="single" w:sz="4" w:space="0" w:color="auto"/>
            </w:tcBorders>
          </w:tcPr>
          <w:p w:rsidR="0000768F" w:rsidRPr="000731D9" w:rsidRDefault="008D4EFA" w:rsidP="002A31B3">
            <w:pPr>
              <w:jc w:val="right"/>
              <w:rPr>
                <w:lang w:val="uk-UA"/>
              </w:rPr>
            </w:pPr>
            <w:r w:rsidRPr="000731D9">
              <w:rPr>
                <w:lang w:val="uk-UA"/>
              </w:rPr>
              <w:t>+319,4</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85491" w:rsidRPr="000731D9" w:rsidRDefault="00E85491" w:rsidP="00E85491">
            <w:pPr>
              <w:jc w:val="center"/>
              <w:rPr>
                <w:lang w:val="uk-UA"/>
              </w:rPr>
            </w:pPr>
            <w:r w:rsidRPr="000731D9">
              <w:rPr>
                <w:lang w:val="uk-UA"/>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85491" w:rsidRPr="000731D9" w:rsidRDefault="00E85491" w:rsidP="0000768F">
            <w:r w:rsidRPr="000731D9">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85491" w:rsidRPr="000731D9" w:rsidRDefault="00E85491" w:rsidP="002A31B3">
            <w:pPr>
              <w:jc w:val="right"/>
            </w:pPr>
            <w:r w:rsidRPr="000731D9">
              <w:t>945</w:t>
            </w:r>
            <w:r w:rsidRPr="000731D9">
              <w:rPr>
                <w:lang w:val="uk-UA"/>
              </w:rPr>
              <w:t>,8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85491" w:rsidRPr="000731D9" w:rsidRDefault="00E85491" w:rsidP="002A31B3">
            <w:pPr>
              <w:jc w:val="right"/>
            </w:pPr>
            <w:r w:rsidRPr="000731D9">
              <w:t>945,8</w:t>
            </w:r>
          </w:p>
        </w:tc>
        <w:tc>
          <w:tcPr>
            <w:tcW w:w="1276" w:type="dxa"/>
            <w:tcBorders>
              <w:top w:val="single" w:sz="4" w:space="0" w:color="auto"/>
              <w:left w:val="nil"/>
              <w:bottom w:val="single" w:sz="4" w:space="0" w:color="auto"/>
              <w:right w:val="single" w:sz="4" w:space="0" w:color="auto"/>
            </w:tcBorders>
          </w:tcPr>
          <w:p w:rsidR="00E85491" w:rsidRPr="000731D9" w:rsidRDefault="008D4EFA" w:rsidP="002A31B3">
            <w:pPr>
              <w:jc w:val="right"/>
            </w:pPr>
            <w:r w:rsidRPr="000731D9">
              <w:t>736</w:t>
            </w:r>
            <w:r w:rsidRPr="000731D9">
              <w:rPr>
                <w:lang w:val="uk-UA"/>
              </w:rPr>
              <w:t>,</w:t>
            </w:r>
            <w:r w:rsidRPr="000731D9">
              <w:t>7</w:t>
            </w:r>
          </w:p>
        </w:tc>
        <w:tc>
          <w:tcPr>
            <w:tcW w:w="1286" w:type="dxa"/>
            <w:tcBorders>
              <w:top w:val="single" w:sz="4" w:space="0" w:color="auto"/>
              <w:left w:val="nil"/>
              <w:bottom w:val="single" w:sz="4" w:space="0" w:color="auto"/>
              <w:right w:val="single" w:sz="4" w:space="0" w:color="auto"/>
            </w:tcBorders>
          </w:tcPr>
          <w:p w:rsidR="00E85491" w:rsidRPr="000731D9" w:rsidRDefault="008D4EFA" w:rsidP="002A31B3">
            <w:pPr>
              <w:jc w:val="right"/>
              <w:rPr>
                <w:lang w:val="uk-UA"/>
              </w:rPr>
            </w:pPr>
            <w:r w:rsidRPr="000731D9">
              <w:rPr>
                <w:lang w:val="uk-UA"/>
              </w:rPr>
              <w:t>+209,1</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F1AF1" w:rsidRPr="000731D9" w:rsidRDefault="00EB1EA9" w:rsidP="00E85491">
            <w:pPr>
              <w:jc w:val="center"/>
              <w:rPr>
                <w:lang w:val="uk-UA"/>
              </w:rPr>
            </w:pPr>
            <w:r w:rsidRPr="000731D9">
              <w:rPr>
                <w:lang w:val="uk-UA"/>
              </w:rPr>
              <w:t>21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00768F">
            <w:r w:rsidRPr="000731D9">
              <w:t>ДП "АНТОНОВ"</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B90DB7" w:rsidP="002A31B3">
            <w:pPr>
              <w:jc w:val="right"/>
              <w:rPr>
                <w:lang w:val="uk-UA"/>
              </w:rPr>
            </w:pPr>
            <w:r w:rsidRPr="000731D9">
              <w:rPr>
                <w:lang w:val="uk-UA"/>
              </w:rPr>
              <w:t>176,0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B90DB7" w:rsidP="002A31B3">
            <w:pPr>
              <w:jc w:val="right"/>
              <w:rPr>
                <w:lang w:val="uk-UA"/>
              </w:rPr>
            </w:pPr>
            <w:r w:rsidRPr="000731D9">
              <w:rPr>
                <w:lang w:val="uk-UA"/>
              </w:rPr>
              <w:t>51 ,1</w:t>
            </w:r>
          </w:p>
        </w:tc>
        <w:tc>
          <w:tcPr>
            <w:tcW w:w="1276" w:type="dxa"/>
            <w:tcBorders>
              <w:top w:val="single" w:sz="4" w:space="0" w:color="auto"/>
              <w:left w:val="nil"/>
              <w:bottom w:val="single" w:sz="4" w:space="0" w:color="auto"/>
              <w:right w:val="single" w:sz="4" w:space="0" w:color="auto"/>
            </w:tcBorders>
          </w:tcPr>
          <w:p w:rsidR="008F1AF1" w:rsidRPr="000731D9" w:rsidRDefault="008F1AF1" w:rsidP="002A31B3">
            <w:pPr>
              <w:jc w:val="right"/>
            </w:pPr>
            <w:r w:rsidRPr="000731D9">
              <w:t>19 201</w:t>
            </w:r>
            <w:r w:rsidRPr="000731D9">
              <w:rPr>
                <w:lang w:val="uk-UA"/>
              </w:rPr>
              <w:t>,7</w:t>
            </w:r>
          </w:p>
        </w:tc>
        <w:tc>
          <w:tcPr>
            <w:tcW w:w="1286" w:type="dxa"/>
            <w:tcBorders>
              <w:top w:val="single" w:sz="4" w:space="0" w:color="auto"/>
              <w:left w:val="nil"/>
              <w:bottom w:val="single" w:sz="4" w:space="0" w:color="auto"/>
              <w:right w:val="single" w:sz="4" w:space="0" w:color="auto"/>
            </w:tcBorders>
          </w:tcPr>
          <w:p w:rsidR="008F1AF1" w:rsidRPr="000731D9" w:rsidRDefault="00B90DB7" w:rsidP="002A31B3">
            <w:pPr>
              <w:jc w:val="right"/>
              <w:rPr>
                <w:lang w:val="uk-UA"/>
              </w:rPr>
            </w:pPr>
            <w:r w:rsidRPr="000731D9">
              <w:rPr>
                <w:lang w:val="uk-UA"/>
              </w:rPr>
              <w:t>-19 150,6</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F1AF1" w:rsidRPr="000731D9" w:rsidRDefault="00EB1EA9" w:rsidP="00E85491">
            <w:pPr>
              <w:jc w:val="center"/>
              <w:rPr>
                <w:lang w:val="uk-UA"/>
              </w:rPr>
            </w:pPr>
            <w:r w:rsidRPr="000731D9">
              <w:rPr>
                <w:lang w:val="uk-UA"/>
              </w:rPr>
              <w:t>22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00768F">
            <w:r w:rsidRPr="000731D9">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A5048D" w:rsidP="002A31B3">
            <w:pPr>
              <w:jc w:val="right"/>
            </w:pPr>
            <w:r w:rsidRPr="000731D9">
              <w:t>261</w:t>
            </w:r>
            <w:r w:rsidRPr="000731D9">
              <w:rPr>
                <w:lang w:val="uk-UA"/>
              </w:rPr>
              <w:t>,</w:t>
            </w:r>
            <w:r w:rsidRPr="000731D9">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A5048D" w:rsidP="002A31B3">
            <w:pPr>
              <w:jc w:val="right"/>
            </w:pPr>
            <w:r w:rsidRPr="000731D9">
              <w:t>261</w:t>
            </w:r>
            <w:r w:rsidRPr="000731D9">
              <w:rPr>
                <w:lang w:val="uk-UA"/>
              </w:rPr>
              <w:t>,3</w:t>
            </w:r>
          </w:p>
        </w:tc>
        <w:tc>
          <w:tcPr>
            <w:tcW w:w="1276" w:type="dxa"/>
            <w:tcBorders>
              <w:top w:val="single" w:sz="4" w:space="0" w:color="auto"/>
              <w:left w:val="nil"/>
              <w:bottom w:val="single" w:sz="4" w:space="0" w:color="auto"/>
              <w:right w:val="single" w:sz="4" w:space="0" w:color="auto"/>
            </w:tcBorders>
          </w:tcPr>
          <w:p w:rsidR="008F1AF1" w:rsidRPr="000731D9" w:rsidRDefault="008F1AF1" w:rsidP="002A31B3">
            <w:pPr>
              <w:jc w:val="right"/>
            </w:pPr>
            <w:r w:rsidRPr="000731D9">
              <w:t>2 639</w:t>
            </w:r>
            <w:r w:rsidRPr="000731D9">
              <w:rPr>
                <w:lang w:val="uk-UA"/>
              </w:rPr>
              <w:t>,</w:t>
            </w:r>
            <w:r w:rsidRPr="000731D9">
              <w:t>8</w:t>
            </w:r>
          </w:p>
        </w:tc>
        <w:tc>
          <w:tcPr>
            <w:tcW w:w="1286" w:type="dxa"/>
            <w:tcBorders>
              <w:top w:val="single" w:sz="4" w:space="0" w:color="auto"/>
              <w:left w:val="nil"/>
              <w:bottom w:val="single" w:sz="4" w:space="0" w:color="auto"/>
              <w:right w:val="single" w:sz="4" w:space="0" w:color="auto"/>
            </w:tcBorders>
          </w:tcPr>
          <w:p w:rsidR="008F1AF1" w:rsidRPr="000731D9" w:rsidRDefault="00A5048D" w:rsidP="002A31B3">
            <w:pPr>
              <w:jc w:val="right"/>
              <w:rPr>
                <w:lang w:val="uk-UA"/>
              </w:rPr>
            </w:pPr>
            <w:r w:rsidRPr="000731D9">
              <w:rPr>
                <w:lang w:val="uk-UA"/>
              </w:rPr>
              <w:t>-2 378,5</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F1AF1" w:rsidRPr="000731D9" w:rsidRDefault="00EB1EA9" w:rsidP="00E85491">
            <w:pPr>
              <w:jc w:val="center"/>
              <w:rPr>
                <w:lang w:val="uk-UA"/>
              </w:rPr>
            </w:pPr>
            <w:r w:rsidRPr="000731D9">
              <w:rPr>
                <w:lang w:val="uk-UA"/>
              </w:rPr>
              <w:t>23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00768F">
            <w:r w:rsidRPr="000731D9">
              <w:t>ТОВ "КЕРАМА МАРАЦЦІ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2A31B3">
            <w:pPr>
              <w:jc w:val="right"/>
              <w:rPr>
                <w:lang w:val="uk-UA"/>
              </w:rPr>
            </w:pPr>
            <w:r w:rsidRPr="000731D9">
              <w:rPr>
                <w:lang w:val="uk-UA"/>
              </w:rPr>
              <w:t>8,1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2A31B3">
            <w:pPr>
              <w:jc w:val="right"/>
              <w:rPr>
                <w:lang w:val="uk-UA"/>
              </w:rPr>
            </w:pPr>
            <w:r w:rsidRPr="000731D9">
              <w:rPr>
                <w:lang w:val="uk-UA"/>
              </w:rPr>
              <w:t>8,1</w:t>
            </w:r>
          </w:p>
        </w:tc>
        <w:tc>
          <w:tcPr>
            <w:tcW w:w="1276" w:type="dxa"/>
            <w:tcBorders>
              <w:top w:val="single" w:sz="4" w:space="0" w:color="auto"/>
              <w:left w:val="nil"/>
              <w:bottom w:val="single" w:sz="4" w:space="0" w:color="auto"/>
              <w:right w:val="single" w:sz="4" w:space="0" w:color="auto"/>
            </w:tcBorders>
          </w:tcPr>
          <w:p w:rsidR="008F1AF1" w:rsidRPr="000731D9" w:rsidRDefault="008F1AF1" w:rsidP="002A31B3">
            <w:pPr>
              <w:jc w:val="right"/>
            </w:pPr>
            <w:r w:rsidRPr="000731D9">
              <w:t>1 180</w:t>
            </w:r>
            <w:r w:rsidRPr="000731D9">
              <w:rPr>
                <w:lang w:val="uk-UA"/>
              </w:rPr>
              <w:t>,</w:t>
            </w:r>
            <w:r w:rsidRPr="000731D9">
              <w:t>6</w:t>
            </w:r>
          </w:p>
        </w:tc>
        <w:tc>
          <w:tcPr>
            <w:tcW w:w="1286" w:type="dxa"/>
            <w:tcBorders>
              <w:top w:val="single" w:sz="4" w:space="0" w:color="auto"/>
              <w:left w:val="nil"/>
              <w:bottom w:val="single" w:sz="4" w:space="0" w:color="auto"/>
              <w:right w:val="single" w:sz="4" w:space="0" w:color="auto"/>
            </w:tcBorders>
          </w:tcPr>
          <w:p w:rsidR="008F1AF1" w:rsidRPr="000731D9" w:rsidRDefault="008F1AF1" w:rsidP="002A31B3">
            <w:pPr>
              <w:jc w:val="right"/>
              <w:rPr>
                <w:lang w:val="uk-UA"/>
              </w:rPr>
            </w:pPr>
            <w:r w:rsidRPr="000731D9">
              <w:rPr>
                <w:lang w:val="uk-UA"/>
              </w:rPr>
              <w:t>-1 172,5</w:t>
            </w:r>
          </w:p>
        </w:tc>
      </w:tr>
      <w:tr w:rsidR="000731D9" w:rsidRPr="000731D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8F1AF1" w:rsidRPr="000731D9" w:rsidRDefault="00EB1EA9" w:rsidP="00E85491">
            <w:pPr>
              <w:jc w:val="center"/>
              <w:rPr>
                <w:lang w:val="uk-UA"/>
              </w:rPr>
            </w:pPr>
            <w:r w:rsidRPr="000731D9">
              <w:rPr>
                <w:lang w:val="uk-UA"/>
              </w:rPr>
              <w:t>24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8F1AF1" w:rsidP="0000768F">
            <w:r w:rsidRPr="000731D9">
              <w:t>ТОВ "ФЕЛІЦАТА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697BF3" w:rsidP="002A31B3">
            <w:pPr>
              <w:jc w:val="right"/>
              <w:rPr>
                <w:lang w:val="uk-UA"/>
              </w:rPr>
            </w:pPr>
            <w:r w:rsidRPr="000731D9">
              <w:rPr>
                <w:lang w:val="uk-UA"/>
              </w:rPr>
              <w:t>0,4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8F1AF1" w:rsidRPr="000731D9" w:rsidRDefault="00697BF3" w:rsidP="002A31B3">
            <w:pPr>
              <w:jc w:val="right"/>
              <w:rPr>
                <w:lang w:val="uk-UA"/>
              </w:rPr>
            </w:pPr>
            <w:r w:rsidRPr="000731D9">
              <w:rPr>
                <w:lang w:val="uk-UA"/>
              </w:rPr>
              <w:t>0,4</w:t>
            </w:r>
          </w:p>
        </w:tc>
        <w:tc>
          <w:tcPr>
            <w:tcW w:w="1276" w:type="dxa"/>
            <w:tcBorders>
              <w:top w:val="single" w:sz="4" w:space="0" w:color="auto"/>
              <w:left w:val="nil"/>
              <w:bottom w:val="single" w:sz="4" w:space="0" w:color="auto"/>
              <w:right w:val="single" w:sz="4" w:space="0" w:color="auto"/>
            </w:tcBorders>
          </w:tcPr>
          <w:p w:rsidR="008F1AF1" w:rsidRPr="000731D9" w:rsidRDefault="008F1AF1" w:rsidP="002A31B3">
            <w:pPr>
              <w:jc w:val="right"/>
            </w:pPr>
            <w:r w:rsidRPr="000731D9">
              <w:t>983</w:t>
            </w:r>
            <w:r w:rsidRPr="000731D9">
              <w:rPr>
                <w:lang w:val="uk-UA"/>
              </w:rPr>
              <w:t>,7</w:t>
            </w:r>
          </w:p>
        </w:tc>
        <w:tc>
          <w:tcPr>
            <w:tcW w:w="1286" w:type="dxa"/>
            <w:tcBorders>
              <w:top w:val="single" w:sz="4" w:space="0" w:color="auto"/>
              <w:left w:val="nil"/>
              <w:bottom w:val="single" w:sz="4" w:space="0" w:color="auto"/>
              <w:right w:val="single" w:sz="4" w:space="0" w:color="auto"/>
            </w:tcBorders>
          </w:tcPr>
          <w:p w:rsidR="008F1AF1" w:rsidRPr="000731D9" w:rsidRDefault="00697BF3" w:rsidP="002A31B3">
            <w:pPr>
              <w:jc w:val="right"/>
              <w:rPr>
                <w:lang w:val="uk-UA"/>
              </w:rPr>
            </w:pPr>
            <w:r w:rsidRPr="000731D9">
              <w:rPr>
                <w:lang w:val="uk-UA"/>
              </w:rPr>
              <w:t>-983,3</w:t>
            </w:r>
          </w:p>
        </w:tc>
      </w:tr>
    </w:tbl>
    <w:p w:rsidR="00D16922" w:rsidRPr="000731D9" w:rsidRDefault="00D16922" w:rsidP="00D16922">
      <w:pPr>
        <w:ind w:firstLine="567"/>
        <w:jc w:val="both"/>
        <w:rPr>
          <w:lang w:val="uk-UA"/>
        </w:rPr>
      </w:pPr>
    </w:p>
    <w:p w:rsidR="00B51E0D" w:rsidRPr="000731D9" w:rsidRDefault="00D16922" w:rsidP="00D16922">
      <w:pPr>
        <w:ind w:firstLine="567"/>
        <w:jc w:val="both"/>
        <w:rPr>
          <w:lang w:val="uk-UA"/>
        </w:rPr>
      </w:pPr>
      <w:r w:rsidRPr="000731D9">
        <w:rPr>
          <w:lang w:val="uk-UA"/>
        </w:rPr>
        <w:t>Аналізуючи динаміку надходження податку на доходи фізичних осіб від найбільших  платників, можна зробити висновки, що</w:t>
      </w:r>
      <w:r w:rsidR="00954F7C" w:rsidRPr="000731D9">
        <w:rPr>
          <w:lang w:val="uk-UA"/>
        </w:rPr>
        <w:t>,</w:t>
      </w:r>
      <w:r w:rsidRPr="000731D9">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приріст надходжень по сумах податку, сплачених суб’єктами господарювання  в порівнянні з </w:t>
      </w:r>
      <w:r w:rsidR="00B5317E" w:rsidRPr="000731D9">
        <w:rPr>
          <w:lang w:val="en-US"/>
        </w:rPr>
        <w:t>I</w:t>
      </w:r>
      <w:r w:rsidRPr="000731D9">
        <w:rPr>
          <w:lang w:val="uk-UA"/>
        </w:rPr>
        <w:t xml:space="preserve"> </w:t>
      </w:r>
      <w:r w:rsidR="0010478F" w:rsidRPr="000731D9">
        <w:rPr>
          <w:lang w:val="uk-UA"/>
        </w:rPr>
        <w:t>півріччям</w:t>
      </w:r>
      <w:r w:rsidRPr="000731D9">
        <w:rPr>
          <w:lang w:val="uk-UA"/>
        </w:rPr>
        <w:t xml:space="preserve"> 202</w:t>
      </w:r>
      <w:r w:rsidR="00073FFD" w:rsidRPr="00B65DCB">
        <w:t>2</w:t>
      </w:r>
      <w:r w:rsidRPr="000731D9">
        <w:rPr>
          <w:lang w:val="uk-UA"/>
        </w:rPr>
        <w:t xml:space="preserve"> року.</w:t>
      </w:r>
    </w:p>
    <w:p w:rsidR="001E642D" w:rsidRPr="000731D9" w:rsidRDefault="001E642D" w:rsidP="003D1222">
      <w:pPr>
        <w:ind w:right="1" w:firstLine="709"/>
        <w:jc w:val="both"/>
        <w:rPr>
          <w:lang w:val="uk-UA"/>
        </w:rPr>
      </w:pPr>
      <w:r w:rsidRPr="000731D9">
        <w:rPr>
          <w:lang w:val="uk-UA"/>
        </w:rPr>
        <w:t xml:space="preserve">Порівнюючи </w:t>
      </w:r>
      <w:r w:rsidR="0053177C" w:rsidRPr="000731D9">
        <w:rPr>
          <w:lang w:val="uk-UA"/>
        </w:rPr>
        <w:t xml:space="preserve">надходження податку на доходи фізичних осіб від найбільших  платників, </w:t>
      </w:r>
      <w:r w:rsidRPr="000731D9">
        <w:rPr>
          <w:lang w:val="uk-UA"/>
        </w:rPr>
        <w:t xml:space="preserve">варто відмітити втрату або суттєве зменшення надходжень податку від низки потужних </w:t>
      </w:r>
      <w:r w:rsidR="00954F7C" w:rsidRPr="000731D9">
        <w:rPr>
          <w:lang w:val="uk-UA"/>
        </w:rPr>
        <w:t>суб’єктів господарювання</w:t>
      </w:r>
      <w:r w:rsidRPr="000731D9">
        <w:rPr>
          <w:lang w:val="uk-UA"/>
        </w:rPr>
        <w:t xml:space="preserve">.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w:t>
      </w:r>
      <w:r w:rsidR="00422276" w:rsidRPr="000731D9">
        <w:rPr>
          <w:lang w:val="uk-UA"/>
        </w:rPr>
        <w:t xml:space="preserve">на даний час знаходиться на стадій відновлювального будівництва </w:t>
      </w:r>
      <w:r w:rsidRPr="000731D9">
        <w:rPr>
          <w:lang w:val="uk-UA"/>
        </w:rPr>
        <w:t>торгови</w:t>
      </w:r>
      <w:r w:rsidR="00422276" w:rsidRPr="000731D9">
        <w:rPr>
          <w:lang w:val="uk-UA"/>
        </w:rPr>
        <w:t>й</w:t>
      </w:r>
      <w:r w:rsidRPr="000731D9">
        <w:rPr>
          <w:lang w:val="uk-UA"/>
        </w:rPr>
        <w:t xml:space="preserve"> центр  ПрАТ «Нова Лінія. </w:t>
      </w:r>
      <w:r w:rsidR="00E16D8A" w:rsidRPr="000731D9">
        <w:rPr>
          <w:lang w:val="uk-UA"/>
        </w:rPr>
        <w:t>Майже припинили свою діяльність на території громади підприємства</w:t>
      </w:r>
      <w:r w:rsidR="00652655" w:rsidRPr="000731D9">
        <w:rPr>
          <w:lang w:val="uk-UA"/>
        </w:rPr>
        <w:t xml:space="preserve"> ТОВ "КЕРАМА МАРАЦЦІ УКРАЇНА"</w:t>
      </w:r>
      <w:r w:rsidR="00973816" w:rsidRPr="000731D9">
        <w:rPr>
          <w:lang w:val="uk-UA"/>
        </w:rPr>
        <w:t>, власником якого є</w:t>
      </w:r>
      <w:r w:rsidR="00423797" w:rsidRPr="000731D9">
        <w:rPr>
          <w:lang w:val="uk-UA"/>
        </w:rPr>
        <w:t xml:space="preserve"> </w:t>
      </w:r>
      <w:r w:rsidR="00973816" w:rsidRPr="000731D9">
        <w:rPr>
          <w:lang w:val="uk-UA"/>
        </w:rPr>
        <w:t xml:space="preserve">громадянин російської федерації </w:t>
      </w:r>
      <w:r w:rsidR="00652655" w:rsidRPr="000731D9">
        <w:rPr>
          <w:lang w:val="uk-UA"/>
        </w:rPr>
        <w:t xml:space="preserve">та ТОВ </w:t>
      </w:r>
      <w:r w:rsidR="00652655" w:rsidRPr="000731D9">
        <w:rPr>
          <w:lang w:val="uk-UA"/>
        </w:rPr>
        <w:lastRenderedPageBreak/>
        <w:t>"ФЕЛІЦАТА УКРАЇНА"</w:t>
      </w:r>
      <w:r w:rsidR="00E16D8A" w:rsidRPr="000731D9">
        <w:rPr>
          <w:lang w:val="uk-UA"/>
        </w:rPr>
        <w:t>,</w:t>
      </w:r>
      <w:r w:rsidRPr="000731D9">
        <w:rPr>
          <w:lang w:val="uk-UA"/>
        </w:rPr>
        <w:t xml:space="preserve"> </w:t>
      </w:r>
      <w:r w:rsidR="00652655" w:rsidRPr="000731D9">
        <w:rPr>
          <w:lang w:val="uk-UA"/>
        </w:rPr>
        <w:t>влас</w:t>
      </w:r>
      <w:r w:rsidR="00E16D8A" w:rsidRPr="000731D9">
        <w:rPr>
          <w:lang w:val="uk-UA"/>
        </w:rPr>
        <w:t>никами як</w:t>
      </w:r>
      <w:r w:rsidR="00973816" w:rsidRPr="000731D9">
        <w:rPr>
          <w:lang w:val="uk-UA"/>
        </w:rPr>
        <w:t>ого є</w:t>
      </w:r>
      <w:r w:rsidR="00652655" w:rsidRPr="000731D9">
        <w:rPr>
          <w:lang w:val="uk-UA"/>
        </w:rPr>
        <w:t xml:space="preserve"> громадяни російської федерації та республіки білорусь</w:t>
      </w:r>
      <w:r w:rsidR="00954F7C" w:rsidRPr="000731D9">
        <w:rPr>
          <w:lang w:val="uk-UA"/>
        </w:rPr>
        <w:t>.</w:t>
      </w:r>
    </w:p>
    <w:p w:rsidR="00EE504D" w:rsidRDefault="00EE504D" w:rsidP="003D1222">
      <w:pPr>
        <w:ind w:right="1" w:firstLine="709"/>
        <w:jc w:val="both"/>
        <w:rPr>
          <w:lang w:val="uk-UA"/>
        </w:rPr>
      </w:pPr>
    </w:p>
    <w:p w:rsidR="005862A0" w:rsidRDefault="005862A0" w:rsidP="00982654">
      <w:pPr>
        <w:pStyle w:val="2"/>
        <w:spacing w:after="0" w:line="240" w:lineRule="auto"/>
        <w:ind w:left="0" w:firstLine="900"/>
        <w:jc w:val="center"/>
        <w:rPr>
          <w:b/>
          <w:bCs/>
          <w:u w:val="single"/>
          <w:lang w:val="uk-UA"/>
        </w:rPr>
      </w:pPr>
    </w:p>
    <w:p w:rsidR="00982654" w:rsidRPr="0012468F" w:rsidRDefault="00982654" w:rsidP="00982654">
      <w:pPr>
        <w:pStyle w:val="2"/>
        <w:spacing w:after="0" w:line="240" w:lineRule="auto"/>
        <w:ind w:left="0" w:firstLine="900"/>
        <w:jc w:val="center"/>
        <w:rPr>
          <w:b/>
          <w:bCs/>
          <w:u w:val="single"/>
          <w:lang w:val="uk-UA"/>
        </w:rPr>
      </w:pPr>
      <w:r w:rsidRPr="0012468F">
        <w:rPr>
          <w:b/>
          <w:bCs/>
          <w:u w:val="single"/>
          <w:lang w:val="uk-UA"/>
        </w:rPr>
        <w:t xml:space="preserve">Внутрішні податки на товари та послуги </w:t>
      </w:r>
    </w:p>
    <w:p w:rsidR="00982654" w:rsidRPr="0012468F" w:rsidRDefault="00982654" w:rsidP="00982654">
      <w:pPr>
        <w:pStyle w:val="2"/>
        <w:spacing w:after="0" w:line="240" w:lineRule="auto"/>
        <w:ind w:left="0" w:firstLine="900"/>
        <w:jc w:val="center"/>
        <w:rPr>
          <w:b/>
          <w:bCs/>
          <w:u w:val="single"/>
          <w:lang w:val="uk-UA"/>
        </w:rPr>
      </w:pPr>
      <w:r w:rsidRPr="0012468F">
        <w:rPr>
          <w:b/>
          <w:bCs/>
          <w:u w:val="single"/>
          <w:lang w:val="uk-UA"/>
        </w:rPr>
        <w:t>(в т.ч. акцизний податок)</w:t>
      </w:r>
    </w:p>
    <w:p w:rsidR="00EE504D" w:rsidRPr="0012468F" w:rsidRDefault="00EE504D" w:rsidP="006D589C">
      <w:pPr>
        <w:pStyle w:val="2"/>
        <w:spacing w:after="0" w:line="240" w:lineRule="auto"/>
        <w:ind w:left="0" w:firstLine="567"/>
        <w:jc w:val="both"/>
        <w:rPr>
          <w:rStyle w:val="rvts0"/>
          <w:lang w:val="uk-UA"/>
        </w:rPr>
      </w:pPr>
    </w:p>
    <w:p w:rsidR="00982654" w:rsidRPr="0012468F" w:rsidRDefault="00982654" w:rsidP="006D589C">
      <w:pPr>
        <w:pStyle w:val="2"/>
        <w:spacing w:after="0" w:line="240" w:lineRule="auto"/>
        <w:ind w:left="0" w:firstLine="567"/>
        <w:jc w:val="both"/>
        <w:rPr>
          <w:lang w:val="uk-UA"/>
        </w:rPr>
      </w:pPr>
      <w:r w:rsidRPr="0012468F">
        <w:rPr>
          <w:rStyle w:val="rvts0"/>
          <w:lang w:val="uk-UA"/>
        </w:rPr>
        <w:t xml:space="preserve">За </w:t>
      </w:r>
      <w:r w:rsidR="00B5317E" w:rsidRPr="0012468F">
        <w:rPr>
          <w:lang w:val="en-US"/>
        </w:rPr>
        <w:t>I</w:t>
      </w:r>
      <w:r w:rsidR="0088665D" w:rsidRPr="0012468F">
        <w:rPr>
          <w:lang w:val="uk-UA"/>
        </w:rPr>
        <w:t xml:space="preserve"> </w:t>
      </w:r>
      <w:r w:rsidR="00F40884" w:rsidRPr="0012468F">
        <w:rPr>
          <w:lang w:val="uk-UA"/>
        </w:rPr>
        <w:t>півріччя</w:t>
      </w:r>
      <w:r w:rsidR="0088665D" w:rsidRPr="0012468F">
        <w:rPr>
          <w:lang w:val="uk-UA"/>
        </w:rPr>
        <w:t xml:space="preserve"> 2023 року </w:t>
      </w:r>
      <w:r w:rsidRPr="0012468F">
        <w:rPr>
          <w:rStyle w:val="rvts0"/>
          <w:lang w:val="uk-UA"/>
        </w:rPr>
        <w:t xml:space="preserve">до місцевого бюджету Бучанської міської територіальної громади надійшло </w:t>
      </w:r>
      <w:r w:rsidR="00F40884" w:rsidRPr="0012468F">
        <w:rPr>
          <w:rStyle w:val="rvts0"/>
          <w:lang w:val="uk-UA"/>
        </w:rPr>
        <w:t>28 760,6</w:t>
      </w:r>
      <w:r w:rsidRPr="0012468F">
        <w:rPr>
          <w:rStyle w:val="rvts0"/>
          <w:lang w:val="uk-UA"/>
        </w:rPr>
        <w:t xml:space="preserve"> тис. грн в</w:t>
      </w:r>
      <w:r w:rsidRPr="0012468F">
        <w:rPr>
          <w:lang w:val="uk-UA"/>
        </w:rPr>
        <w:t xml:space="preserve">нутрішніх податків на товари та послуги, </w:t>
      </w:r>
      <w:r w:rsidRPr="0012468F">
        <w:rPr>
          <w:rStyle w:val="rvts0"/>
          <w:lang w:val="uk-UA"/>
        </w:rPr>
        <w:t xml:space="preserve">що в порівнянні з надходженнями за </w:t>
      </w:r>
      <w:r w:rsidR="00B5317E" w:rsidRPr="0012468F">
        <w:rPr>
          <w:lang w:val="en-US"/>
        </w:rPr>
        <w:t>I</w:t>
      </w:r>
      <w:r w:rsidR="0088665D" w:rsidRPr="0012468F">
        <w:rPr>
          <w:lang w:val="uk-UA"/>
        </w:rPr>
        <w:t xml:space="preserve"> </w:t>
      </w:r>
      <w:r w:rsidR="00F40884" w:rsidRPr="0012468F">
        <w:rPr>
          <w:lang w:val="uk-UA"/>
        </w:rPr>
        <w:t>півріччя</w:t>
      </w:r>
      <w:r w:rsidR="0088665D" w:rsidRPr="0012468F">
        <w:rPr>
          <w:lang w:val="uk-UA"/>
        </w:rPr>
        <w:t xml:space="preserve"> 2022 року</w:t>
      </w:r>
      <w:r w:rsidRPr="0012468F">
        <w:rPr>
          <w:lang w:val="uk-UA"/>
        </w:rPr>
        <w:t xml:space="preserve"> з</w:t>
      </w:r>
      <w:r w:rsidR="00911D06" w:rsidRPr="0012468F">
        <w:rPr>
          <w:lang w:val="uk-UA"/>
        </w:rPr>
        <w:t>біль</w:t>
      </w:r>
      <w:r w:rsidRPr="0012468F">
        <w:rPr>
          <w:lang w:val="uk-UA"/>
        </w:rPr>
        <w:t>ш</w:t>
      </w:r>
      <w:r w:rsidR="00190FDE" w:rsidRPr="0012468F">
        <w:rPr>
          <w:lang w:val="uk-UA"/>
        </w:rPr>
        <w:t>е</w:t>
      </w:r>
      <w:r w:rsidR="004868B3" w:rsidRPr="0012468F">
        <w:rPr>
          <w:lang w:val="uk-UA"/>
        </w:rPr>
        <w:t>но</w:t>
      </w:r>
      <w:r w:rsidRPr="0012468F">
        <w:rPr>
          <w:lang w:val="uk-UA"/>
        </w:rPr>
        <w:t xml:space="preserve"> на </w:t>
      </w:r>
      <w:r w:rsidR="00F40884" w:rsidRPr="0012468F">
        <w:rPr>
          <w:lang w:val="uk-UA"/>
        </w:rPr>
        <w:t>19 065,2</w:t>
      </w:r>
      <w:r w:rsidRPr="0012468F">
        <w:rPr>
          <w:lang w:val="uk-UA"/>
        </w:rPr>
        <w:t xml:space="preserve"> тис. грн</w:t>
      </w:r>
      <w:r w:rsidR="00D56386" w:rsidRPr="0012468F">
        <w:rPr>
          <w:lang w:val="uk-UA"/>
        </w:rPr>
        <w:t>,</w:t>
      </w:r>
      <w:r w:rsidR="00D56386" w:rsidRPr="00B65DCB">
        <w:rPr>
          <w:lang w:val="uk-UA"/>
        </w:rPr>
        <w:t xml:space="preserve"> </w:t>
      </w:r>
      <w:r w:rsidR="00D56386" w:rsidRPr="0012468F">
        <w:rPr>
          <w:lang w:val="uk-UA"/>
        </w:rPr>
        <w:t xml:space="preserve">що складає </w:t>
      </w:r>
      <w:r w:rsidR="00F40884" w:rsidRPr="0012468F">
        <w:rPr>
          <w:lang w:val="uk-UA"/>
        </w:rPr>
        <w:t>296,6</w:t>
      </w:r>
      <w:r w:rsidR="00D56386" w:rsidRPr="0012468F">
        <w:rPr>
          <w:lang w:val="uk-UA"/>
        </w:rPr>
        <w:t>%.</w:t>
      </w:r>
    </w:p>
    <w:p w:rsidR="00982654" w:rsidRPr="0012468F" w:rsidRDefault="00982654" w:rsidP="006D589C">
      <w:pPr>
        <w:pStyle w:val="2"/>
        <w:spacing w:after="0" w:line="240" w:lineRule="auto"/>
        <w:ind w:left="0" w:firstLine="567"/>
        <w:jc w:val="both"/>
        <w:rPr>
          <w:lang w:val="uk-UA"/>
        </w:rPr>
      </w:pPr>
      <w:r w:rsidRPr="0012468F">
        <w:rPr>
          <w:lang w:val="uk-UA"/>
        </w:rPr>
        <w:t xml:space="preserve">Акцизного податку з вироблених в Україні підакцизних товарів (продукції) за </w:t>
      </w:r>
      <w:r w:rsidR="00B5317E" w:rsidRPr="0012468F">
        <w:rPr>
          <w:lang w:val="en-US"/>
        </w:rPr>
        <w:t>I</w:t>
      </w:r>
      <w:r w:rsidR="00E24E32" w:rsidRPr="0012468F">
        <w:rPr>
          <w:lang w:val="uk-UA"/>
        </w:rPr>
        <w:t xml:space="preserve"> </w:t>
      </w:r>
      <w:r w:rsidR="00F40884" w:rsidRPr="0012468F">
        <w:rPr>
          <w:lang w:val="uk-UA"/>
        </w:rPr>
        <w:t>півріччя</w:t>
      </w:r>
      <w:r w:rsidR="00E24E32" w:rsidRPr="0012468F">
        <w:rPr>
          <w:lang w:val="uk-UA"/>
        </w:rPr>
        <w:t xml:space="preserve"> 2023 року </w:t>
      </w:r>
      <w:r w:rsidRPr="0012468F">
        <w:rPr>
          <w:lang w:val="uk-UA"/>
        </w:rPr>
        <w:t xml:space="preserve">надійшло </w:t>
      </w:r>
      <w:r w:rsidR="00F40884" w:rsidRPr="0012468F">
        <w:rPr>
          <w:lang w:val="uk-UA"/>
        </w:rPr>
        <w:t>2 353,0</w:t>
      </w:r>
      <w:r w:rsidRPr="0012468F">
        <w:rPr>
          <w:lang w:val="uk-UA"/>
        </w:rPr>
        <w:t xml:space="preserve"> тис. грн. </w:t>
      </w:r>
      <w:bookmarkStart w:id="5" w:name="_Hlk71184053"/>
      <w:r w:rsidRPr="0012468F">
        <w:rPr>
          <w:lang w:val="uk-UA"/>
        </w:rPr>
        <w:t>Порівнюючи з надходженнями за аналогічний період 202</w:t>
      </w:r>
      <w:r w:rsidR="00E24E32" w:rsidRPr="0012468F">
        <w:rPr>
          <w:lang w:val="uk-UA"/>
        </w:rPr>
        <w:t>2</w:t>
      </w:r>
      <w:r w:rsidRPr="0012468F">
        <w:rPr>
          <w:lang w:val="uk-UA"/>
        </w:rPr>
        <w:t xml:space="preserve"> року, сума доходів з</w:t>
      </w:r>
      <w:r w:rsidR="00F40884" w:rsidRPr="0012468F">
        <w:rPr>
          <w:lang w:val="uk-UA"/>
        </w:rPr>
        <w:t>біль</w:t>
      </w:r>
      <w:r w:rsidRPr="0012468F">
        <w:rPr>
          <w:lang w:val="uk-UA"/>
        </w:rPr>
        <w:t xml:space="preserve">шилась  на </w:t>
      </w:r>
      <w:r w:rsidR="00F40884" w:rsidRPr="0012468F">
        <w:rPr>
          <w:lang w:val="uk-UA"/>
        </w:rPr>
        <w:t>1 482,4</w:t>
      </w:r>
      <w:r w:rsidR="003F519A" w:rsidRPr="0012468F">
        <w:rPr>
          <w:lang w:val="uk-UA"/>
        </w:rPr>
        <w:t xml:space="preserve"> тис. грн,</w:t>
      </w:r>
      <w:r w:rsidRPr="0012468F">
        <w:rPr>
          <w:lang w:val="uk-UA"/>
        </w:rPr>
        <w:t xml:space="preserve"> </w:t>
      </w:r>
      <w:r w:rsidR="003F519A" w:rsidRPr="0012468F">
        <w:rPr>
          <w:lang w:val="uk-UA"/>
        </w:rPr>
        <w:t xml:space="preserve">що у відсотковому співвідношенні </w:t>
      </w:r>
      <w:r w:rsidRPr="0012468F">
        <w:rPr>
          <w:lang w:val="uk-UA"/>
        </w:rPr>
        <w:t xml:space="preserve">складає </w:t>
      </w:r>
      <w:r w:rsidR="00F40884" w:rsidRPr="0012468F">
        <w:rPr>
          <w:lang w:val="uk-UA"/>
        </w:rPr>
        <w:t>270,3</w:t>
      </w:r>
      <w:r w:rsidRPr="0012468F">
        <w:rPr>
          <w:lang w:val="uk-UA"/>
        </w:rPr>
        <w:t>%.</w:t>
      </w:r>
      <w:r w:rsidR="005E6DC4" w:rsidRPr="0012468F">
        <w:rPr>
          <w:lang w:val="uk-UA"/>
        </w:rPr>
        <w:t xml:space="preserve"> </w:t>
      </w:r>
      <w:r w:rsidR="00E55163" w:rsidRPr="0012468F">
        <w:rPr>
          <w:lang w:val="uk-UA"/>
        </w:rPr>
        <w:t xml:space="preserve"> Р</w:t>
      </w:r>
      <w:r w:rsidR="002D05B9" w:rsidRPr="0012468F">
        <w:rPr>
          <w:lang w:val="uk-UA"/>
        </w:rPr>
        <w:t xml:space="preserve">акетними ударами по території України </w:t>
      </w:r>
      <w:r w:rsidR="00E55163" w:rsidRPr="0012468F">
        <w:rPr>
          <w:lang w:val="uk-UA"/>
        </w:rPr>
        <w:t xml:space="preserve">на початку повномаштабного вторгнення військ </w:t>
      </w:r>
      <w:r w:rsidR="00A1179A" w:rsidRPr="0012468F">
        <w:rPr>
          <w:lang w:val="uk-UA"/>
        </w:rPr>
        <w:t>росі</w:t>
      </w:r>
      <w:r w:rsidR="00E55163" w:rsidRPr="0012468F">
        <w:rPr>
          <w:lang w:val="uk-UA"/>
        </w:rPr>
        <w:t>йської федерації,</w:t>
      </w:r>
      <w:r w:rsidR="00A1179A" w:rsidRPr="0012468F">
        <w:rPr>
          <w:lang w:val="uk-UA"/>
        </w:rPr>
        <w:t xml:space="preserve"> </w:t>
      </w:r>
      <w:r w:rsidR="002D05B9" w:rsidRPr="0012468F">
        <w:rPr>
          <w:lang w:val="uk-UA"/>
        </w:rPr>
        <w:t>було знищено частину нафтопереробних підприємств, внаслідок чого частка пального, що вироблялось на території нашої країни</w:t>
      </w:r>
      <w:r w:rsidR="00E55163" w:rsidRPr="0012468F">
        <w:rPr>
          <w:lang w:val="uk-UA"/>
        </w:rPr>
        <w:t xml:space="preserve"> в першій половині 2022 року була зведена до мінімуму. Аналізуючи надходження від </w:t>
      </w:r>
      <w:r w:rsidR="002D05B9" w:rsidRPr="0012468F">
        <w:rPr>
          <w:lang w:val="uk-UA"/>
        </w:rPr>
        <w:t xml:space="preserve"> </w:t>
      </w:r>
      <w:r w:rsidR="00E55163" w:rsidRPr="0012468F">
        <w:rPr>
          <w:lang w:val="uk-UA"/>
        </w:rPr>
        <w:t>акцизного податку з вироблених в Україні підакцизних товарів (продукції) за I півріччя 2023 року можна зробити висновки про поступове відновлення виробництва пального українськими нафтопереробними підприємствами та, як наслідок, збільшення надходження даного виду податку до бюджету.</w:t>
      </w:r>
    </w:p>
    <w:bookmarkEnd w:id="5"/>
    <w:p w:rsidR="000B5C4F" w:rsidRPr="0012468F" w:rsidRDefault="00982654" w:rsidP="00042E07">
      <w:pPr>
        <w:pStyle w:val="a4"/>
        <w:shd w:val="clear" w:color="auto" w:fill="FFFFFF" w:themeFill="background1"/>
        <w:ind w:left="0" w:right="-2" w:firstLine="567"/>
        <w:jc w:val="both"/>
        <w:rPr>
          <w:shd w:val="clear" w:color="auto" w:fill="FFFFFF" w:themeFill="background1"/>
          <w:lang w:val="uk-UA"/>
        </w:rPr>
      </w:pPr>
      <w:r w:rsidRPr="0012468F">
        <w:rPr>
          <w:rStyle w:val="rvts0"/>
          <w:lang w:val="uk-UA"/>
        </w:rPr>
        <w:t xml:space="preserve">Акцизного податку з ввезених на митну територію України підакцизних товарів (продукції) за </w:t>
      </w:r>
      <w:bookmarkStart w:id="6" w:name="_Hlk70432275"/>
      <w:r w:rsidR="00B5317E" w:rsidRPr="0012468F">
        <w:rPr>
          <w:lang w:val="en-US"/>
        </w:rPr>
        <w:t>I</w:t>
      </w:r>
      <w:r w:rsidR="005E6DC4" w:rsidRPr="0012468F">
        <w:rPr>
          <w:lang w:val="uk-UA"/>
        </w:rPr>
        <w:t xml:space="preserve"> </w:t>
      </w:r>
      <w:r w:rsidR="004F0945" w:rsidRPr="0012468F">
        <w:rPr>
          <w:lang w:val="uk-UA"/>
        </w:rPr>
        <w:t xml:space="preserve">півріччя </w:t>
      </w:r>
      <w:r w:rsidR="005E6DC4" w:rsidRPr="0012468F">
        <w:rPr>
          <w:lang w:val="uk-UA"/>
        </w:rPr>
        <w:t>2023 року</w:t>
      </w:r>
      <w:r w:rsidRPr="0012468F">
        <w:rPr>
          <w:lang w:val="uk-UA"/>
        </w:rPr>
        <w:t xml:space="preserve"> </w:t>
      </w:r>
      <w:bookmarkEnd w:id="6"/>
      <w:r w:rsidRPr="0012468F">
        <w:rPr>
          <w:rStyle w:val="rvts0"/>
          <w:lang w:val="uk-UA"/>
        </w:rPr>
        <w:t xml:space="preserve">до місцевого бюджету надійшло </w:t>
      </w:r>
      <w:r w:rsidR="004F0945" w:rsidRPr="0012468F">
        <w:rPr>
          <w:rStyle w:val="rvts0"/>
          <w:lang w:val="uk-UA"/>
        </w:rPr>
        <w:t>9 971,6</w:t>
      </w:r>
      <w:r w:rsidRPr="0012468F">
        <w:rPr>
          <w:rStyle w:val="rvts0"/>
          <w:lang w:val="uk-UA"/>
        </w:rPr>
        <w:t xml:space="preserve"> тис. грн. Порівнюючи з надходженнями за </w:t>
      </w:r>
      <w:r w:rsidR="00B5317E" w:rsidRPr="0012468F">
        <w:rPr>
          <w:lang w:val="en-US"/>
        </w:rPr>
        <w:t>I</w:t>
      </w:r>
      <w:r w:rsidR="005E6DC4" w:rsidRPr="0012468F">
        <w:rPr>
          <w:lang w:val="uk-UA"/>
        </w:rPr>
        <w:t xml:space="preserve"> </w:t>
      </w:r>
      <w:r w:rsidR="004F0945" w:rsidRPr="0012468F">
        <w:rPr>
          <w:lang w:val="uk-UA"/>
        </w:rPr>
        <w:t>півріч</w:t>
      </w:r>
      <w:r w:rsidR="00273F31" w:rsidRPr="0012468F">
        <w:rPr>
          <w:lang w:val="uk-UA"/>
        </w:rPr>
        <w:t>ч</w:t>
      </w:r>
      <w:r w:rsidR="004F0945" w:rsidRPr="0012468F">
        <w:rPr>
          <w:lang w:val="uk-UA"/>
        </w:rPr>
        <w:t>я</w:t>
      </w:r>
      <w:r w:rsidR="005E6DC4" w:rsidRPr="0012468F">
        <w:rPr>
          <w:lang w:val="uk-UA"/>
        </w:rPr>
        <w:t xml:space="preserve"> 2022 року</w:t>
      </w:r>
      <w:r w:rsidRPr="0012468F">
        <w:rPr>
          <w:rStyle w:val="rvts0"/>
          <w:lang w:val="uk-UA"/>
        </w:rPr>
        <w:t xml:space="preserve">, сума </w:t>
      </w:r>
      <w:r w:rsidR="00C02289" w:rsidRPr="0012468F">
        <w:rPr>
          <w:rStyle w:val="rvts0"/>
          <w:lang w:val="uk-UA"/>
        </w:rPr>
        <w:t xml:space="preserve">доходів </w:t>
      </w:r>
      <w:r w:rsidRPr="0012468F">
        <w:rPr>
          <w:rStyle w:val="rvts0"/>
          <w:lang w:val="uk-UA"/>
        </w:rPr>
        <w:t>з</w:t>
      </w:r>
      <w:r w:rsidR="005E6DC4" w:rsidRPr="0012468F">
        <w:rPr>
          <w:rStyle w:val="rvts0"/>
          <w:lang w:val="uk-UA"/>
        </w:rPr>
        <w:t>більшилась</w:t>
      </w:r>
      <w:r w:rsidRPr="0012468F">
        <w:rPr>
          <w:rStyle w:val="rvts0"/>
          <w:lang w:val="uk-UA"/>
        </w:rPr>
        <w:t xml:space="preserve"> на </w:t>
      </w:r>
      <w:r w:rsidR="004F0945" w:rsidRPr="0012468F">
        <w:rPr>
          <w:rStyle w:val="rvts0"/>
          <w:lang w:val="uk-UA"/>
        </w:rPr>
        <w:t>7 022,9</w:t>
      </w:r>
      <w:r w:rsidR="00160350" w:rsidRPr="0012468F">
        <w:rPr>
          <w:rStyle w:val="rvts0"/>
          <w:lang w:val="uk-UA"/>
        </w:rPr>
        <w:t xml:space="preserve"> тис. грн, що у відсотковому співвідношенні</w:t>
      </w:r>
      <w:r w:rsidRPr="0012468F">
        <w:rPr>
          <w:rStyle w:val="rvts0"/>
          <w:lang w:val="uk-UA"/>
        </w:rPr>
        <w:t xml:space="preserve"> складає </w:t>
      </w:r>
      <w:r w:rsidR="004F0945" w:rsidRPr="0012468F">
        <w:rPr>
          <w:rStyle w:val="rvts0"/>
          <w:lang w:val="uk-UA"/>
        </w:rPr>
        <w:t>338,2</w:t>
      </w:r>
      <w:r w:rsidRPr="0012468F">
        <w:rPr>
          <w:rStyle w:val="rvts0"/>
          <w:lang w:val="uk-UA"/>
        </w:rPr>
        <w:t>%.</w:t>
      </w:r>
      <w:r w:rsidRPr="0012468F">
        <w:rPr>
          <w:shd w:val="clear" w:color="auto" w:fill="FFFFFF" w:themeFill="background1"/>
          <w:lang w:val="uk-UA"/>
        </w:rPr>
        <w:t xml:space="preserve"> </w:t>
      </w:r>
      <w:r w:rsidR="002D05B9" w:rsidRPr="0012468F">
        <w:rPr>
          <w:shd w:val="clear" w:color="auto" w:fill="FFFFFF" w:themeFill="background1"/>
          <w:lang w:val="uk-UA"/>
        </w:rPr>
        <w:t>Значний відсоток росту надходжень від акцизу</w:t>
      </w:r>
      <w:r w:rsidR="00A1179A" w:rsidRPr="0012468F">
        <w:rPr>
          <w:shd w:val="clear" w:color="auto" w:fill="FFFFFF" w:themeFill="background1"/>
          <w:lang w:val="uk-UA"/>
        </w:rPr>
        <w:t>,</w:t>
      </w:r>
      <w:r w:rsidR="002D05B9" w:rsidRPr="0012468F">
        <w:rPr>
          <w:shd w:val="clear" w:color="auto" w:fill="FFFFFF" w:themeFill="background1"/>
          <w:lang w:val="uk-UA"/>
        </w:rPr>
        <w:t xml:space="preserve"> зумовлений</w:t>
      </w:r>
      <w:r w:rsidR="00A54CC2" w:rsidRPr="0012468F">
        <w:rPr>
          <w:shd w:val="clear" w:color="auto" w:fill="FFFFFF" w:themeFill="background1"/>
          <w:lang w:val="uk-UA"/>
        </w:rPr>
        <w:t xml:space="preserve">, крім іншого, </w:t>
      </w:r>
      <w:r w:rsidR="002D05B9" w:rsidRPr="0012468F">
        <w:rPr>
          <w:shd w:val="clear" w:color="auto" w:fill="FFFFFF" w:themeFill="background1"/>
          <w:lang w:val="uk-UA"/>
        </w:rPr>
        <w:t xml:space="preserve">підвищеним попитом </w:t>
      </w:r>
      <w:r w:rsidR="00A1179A" w:rsidRPr="0012468F">
        <w:rPr>
          <w:shd w:val="clear" w:color="auto" w:fill="FFFFFF" w:themeFill="background1"/>
          <w:lang w:val="uk-UA"/>
        </w:rPr>
        <w:t xml:space="preserve">на пальне, </w:t>
      </w:r>
      <w:r w:rsidR="002D05B9" w:rsidRPr="0012468F">
        <w:rPr>
          <w:shd w:val="clear" w:color="auto" w:fill="FFFFFF" w:themeFill="background1"/>
          <w:lang w:val="uk-UA"/>
        </w:rPr>
        <w:t>через використання</w:t>
      </w:r>
      <w:r w:rsidR="00A1179A" w:rsidRPr="0012468F">
        <w:rPr>
          <w:shd w:val="clear" w:color="auto" w:fill="FFFFFF" w:themeFill="background1"/>
          <w:lang w:val="uk-UA"/>
        </w:rPr>
        <w:t xml:space="preserve"> генераторів</w:t>
      </w:r>
      <w:r w:rsidR="006739E5" w:rsidRPr="0012468F">
        <w:rPr>
          <w:shd w:val="clear" w:color="auto" w:fill="FFFFFF" w:themeFill="background1"/>
          <w:lang w:val="uk-UA"/>
        </w:rPr>
        <w:t xml:space="preserve"> у зимовий період</w:t>
      </w:r>
      <w:r w:rsidR="00A1179A" w:rsidRPr="0012468F">
        <w:rPr>
          <w:shd w:val="clear" w:color="auto" w:fill="FFFFFF" w:themeFill="background1"/>
          <w:lang w:val="uk-UA"/>
        </w:rPr>
        <w:t>, що компенсовували відсутність електричної енергії внаслідок руйнування енергосистеми</w:t>
      </w:r>
      <w:r w:rsidR="006739E5" w:rsidRPr="0012468F">
        <w:rPr>
          <w:shd w:val="clear" w:color="auto" w:fill="FFFFFF" w:themeFill="background1"/>
          <w:lang w:val="uk-UA"/>
        </w:rPr>
        <w:t xml:space="preserve"> на початку року.</w:t>
      </w:r>
      <w:r w:rsidR="000B5C4F" w:rsidRPr="0012468F">
        <w:rPr>
          <w:shd w:val="clear" w:color="auto" w:fill="FFFFFF" w:themeFill="background1"/>
          <w:lang w:val="uk-UA"/>
        </w:rPr>
        <w:t xml:space="preserve"> </w:t>
      </w:r>
    </w:p>
    <w:p w:rsidR="00042E07" w:rsidRPr="0012468F" w:rsidRDefault="000B5C4F" w:rsidP="00042E07">
      <w:pPr>
        <w:pStyle w:val="a4"/>
        <w:shd w:val="clear" w:color="auto" w:fill="FFFFFF" w:themeFill="background1"/>
        <w:ind w:left="0" w:right="-2" w:firstLine="567"/>
        <w:jc w:val="both"/>
        <w:rPr>
          <w:shd w:val="clear" w:color="auto" w:fill="FFFFFF" w:themeFill="background1"/>
          <w:lang w:val="uk-UA"/>
        </w:rPr>
      </w:pPr>
      <w:r w:rsidRPr="0012468F">
        <w:rPr>
          <w:shd w:val="clear" w:color="auto" w:fill="FFFFFF" w:themeFill="background1"/>
          <w:lang w:val="uk-UA"/>
        </w:rPr>
        <w:t xml:space="preserve">Крім того,  слід зазначити, що на високий показник збільшення надходження акцизного податку на пальне у 1 півріччі 2023 року в порівнянні з аналогічним періодом 2022 року вплинув факт збільшення кількості автозаправних станцій, що відновили свою діяльність на території громади після деокупації. </w:t>
      </w:r>
    </w:p>
    <w:p w:rsidR="00982654" w:rsidRPr="0012468F" w:rsidRDefault="00982654" w:rsidP="00993D90">
      <w:pPr>
        <w:tabs>
          <w:tab w:val="left" w:pos="1530"/>
        </w:tabs>
        <w:ind w:firstLine="567"/>
        <w:jc w:val="both"/>
        <w:rPr>
          <w:bCs/>
          <w:lang w:val="uk-UA"/>
        </w:rPr>
      </w:pPr>
      <w:r w:rsidRPr="0012468F">
        <w:rPr>
          <w:bCs/>
          <w:lang w:val="uk-UA"/>
        </w:rPr>
        <w:t xml:space="preserve">Акцизного податку </w:t>
      </w:r>
      <w:r w:rsidRPr="0012468F">
        <w:rPr>
          <w:rStyle w:val="rvts0"/>
          <w:lang w:val="uk-UA"/>
        </w:rPr>
        <w:t>з реалізації</w:t>
      </w:r>
      <w:r w:rsidRPr="0012468F">
        <w:rPr>
          <w:bCs/>
          <w:lang w:val="uk-UA"/>
        </w:rPr>
        <w:t xml:space="preserve"> </w:t>
      </w:r>
      <w:r w:rsidRPr="0012468F">
        <w:rPr>
          <w:rStyle w:val="rvts0"/>
          <w:lang w:val="uk-UA"/>
        </w:rPr>
        <w:t xml:space="preserve">суб’єктами господарювання роздрібної торгівлі підакцизних товарів надійшло до </w:t>
      </w:r>
      <w:r w:rsidRPr="0012468F">
        <w:rPr>
          <w:lang w:val="uk-UA"/>
        </w:rPr>
        <w:t xml:space="preserve">місцевого бюджету за </w:t>
      </w:r>
      <w:r w:rsidR="00B5317E" w:rsidRPr="0012468F">
        <w:rPr>
          <w:lang w:val="en-US"/>
        </w:rPr>
        <w:t>I</w:t>
      </w:r>
      <w:r w:rsidR="00654E2A" w:rsidRPr="0012468F">
        <w:rPr>
          <w:lang w:val="uk-UA"/>
        </w:rPr>
        <w:t xml:space="preserve"> </w:t>
      </w:r>
      <w:r w:rsidR="008E2EC9" w:rsidRPr="0012468F">
        <w:rPr>
          <w:lang w:val="uk-UA"/>
        </w:rPr>
        <w:t>півріччя</w:t>
      </w:r>
      <w:r w:rsidR="00654E2A" w:rsidRPr="0012468F">
        <w:rPr>
          <w:lang w:val="uk-UA"/>
        </w:rPr>
        <w:t xml:space="preserve"> 2023 року </w:t>
      </w:r>
      <w:r w:rsidR="008E2EC9" w:rsidRPr="0012468F">
        <w:rPr>
          <w:lang w:val="uk-UA"/>
        </w:rPr>
        <w:t>16 436,0</w:t>
      </w:r>
      <w:r w:rsidRPr="0012468F">
        <w:rPr>
          <w:lang w:val="uk-UA"/>
        </w:rPr>
        <w:t xml:space="preserve"> тис. грн, </w:t>
      </w:r>
      <w:r w:rsidRPr="0012468F">
        <w:rPr>
          <w:bCs/>
          <w:lang w:val="uk-UA"/>
        </w:rPr>
        <w:t xml:space="preserve">що на </w:t>
      </w:r>
      <w:r w:rsidR="008E2EC9" w:rsidRPr="0012468F">
        <w:rPr>
          <w:bCs/>
          <w:lang w:val="uk-UA"/>
        </w:rPr>
        <w:t>3 716,0</w:t>
      </w:r>
      <w:r w:rsidRPr="0012468F">
        <w:rPr>
          <w:bCs/>
          <w:lang w:val="uk-UA"/>
        </w:rPr>
        <w:t xml:space="preserve"> тис. грн більше проти планових призначень</w:t>
      </w:r>
      <w:r w:rsidR="00E843F2" w:rsidRPr="0012468F">
        <w:rPr>
          <w:bCs/>
          <w:lang w:val="uk-UA"/>
        </w:rPr>
        <w:t xml:space="preserve"> на звітний період</w:t>
      </w:r>
      <w:r w:rsidRPr="0012468F">
        <w:rPr>
          <w:bCs/>
          <w:lang w:val="uk-UA"/>
        </w:rPr>
        <w:t xml:space="preserve"> та складає </w:t>
      </w:r>
      <w:r w:rsidR="008E2EC9" w:rsidRPr="0012468F">
        <w:rPr>
          <w:bCs/>
          <w:lang w:val="uk-UA"/>
        </w:rPr>
        <w:t>129,2</w:t>
      </w:r>
      <w:r w:rsidRPr="0012468F">
        <w:rPr>
          <w:bCs/>
          <w:lang w:val="uk-UA"/>
        </w:rPr>
        <w:t xml:space="preserve">% виконання. Порівнюючи з надходженнями </w:t>
      </w:r>
      <w:r w:rsidRPr="0012468F">
        <w:rPr>
          <w:lang w:val="uk-UA"/>
        </w:rPr>
        <w:t xml:space="preserve">за аналогічний період </w:t>
      </w:r>
      <w:r w:rsidRPr="0012468F">
        <w:rPr>
          <w:bCs/>
          <w:lang w:val="uk-UA"/>
        </w:rPr>
        <w:t>202</w:t>
      </w:r>
      <w:r w:rsidR="00654E2A" w:rsidRPr="0012468F">
        <w:rPr>
          <w:bCs/>
          <w:lang w:val="uk-UA"/>
        </w:rPr>
        <w:t>2</w:t>
      </w:r>
      <w:r w:rsidRPr="0012468F">
        <w:rPr>
          <w:bCs/>
          <w:lang w:val="uk-UA"/>
        </w:rPr>
        <w:t xml:space="preserve"> року, акцизного податку  надійшло на </w:t>
      </w:r>
      <w:r w:rsidR="008E2EC9" w:rsidRPr="0012468F">
        <w:rPr>
          <w:bCs/>
          <w:lang w:val="uk-UA"/>
        </w:rPr>
        <w:t>10 559,9</w:t>
      </w:r>
      <w:r w:rsidRPr="0012468F">
        <w:rPr>
          <w:bCs/>
          <w:lang w:val="uk-UA"/>
        </w:rPr>
        <w:t xml:space="preserve"> тис. грн</w:t>
      </w:r>
      <w:r w:rsidR="00576DE4" w:rsidRPr="0012468F">
        <w:rPr>
          <w:bCs/>
          <w:lang w:val="uk-UA"/>
        </w:rPr>
        <w:t xml:space="preserve"> </w:t>
      </w:r>
      <w:r w:rsidR="00654E2A" w:rsidRPr="0012468F">
        <w:rPr>
          <w:bCs/>
          <w:lang w:val="uk-UA"/>
        </w:rPr>
        <w:t>більше</w:t>
      </w:r>
      <w:r w:rsidR="00993D90" w:rsidRPr="0012468F">
        <w:rPr>
          <w:bCs/>
          <w:lang w:val="uk-UA"/>
        </w:rPr>
        <w:t>,</w:t>
      </w:r>
      <w:r w:rsidRPr="0012468F">
        <w:rPr>
          <w:bCs/>
          <w:lang w:val="uk-UA"/>
        </w:rPr>
        <w:t xml:space="preserve"> </w:t>
      </w:r>
      <w:r w:rsidR="00993D90" w:rsidRPr="0012468F">
        <w:rPr>
          <w:bCs/>
          <w:lang w:val="uk-UA"/>
        </w:rPr>
        <w:t xml:space="preserve">що у відсотковому співвідношенні складає </w:t>
      </w:r>
      <w:r w:rsidR="008E2EC9" w:rsidRPr="0012468F">
        <w:rPr>
          <w:bCs/>
          <w:lang w:val="uk-UA"/>
        </w:rPr>
        <w:t>279,7</w:t>
      </w:r>
      <w:r w:rsidR="00993D90" w:rsidRPr="0012468F">
        <w:rPr>
          <w:bCs/>
          <w:lang w:val="uk-UA"/>
        </w:rPr>
        <w:t>%.</w:t>
      </w:r>
    </w:p>
    <w:p w:rsidR="0018133D" w:rsidRPr="0012468F" w:rsidRDefault="0018133D" w:rsidP="00982654">
      <w:pPr>
        <w:tabs>
          <w:tab w:val="left" w:pos="1530"/>
        </w:tabs>
        <w:jc w:val="center"/>
        <w:rPr>
          <w:b/>
          <w:u w:val="single"/>
          <w:lang w:val="uk-UA"/>
        </w:rPr>
      </w:pPr>
    </w:p>
    <w:p w:rsidR="00E17D23" w:rsidRPr="0012468F" w:rsidRDefault="00E17D23" w:rsidP="00982654">
      <w:pPr>
        <w:tabs>
          <w:tab w:val="left" w:pos="1530"/>
        </w:tabs>
        <w:jc w:val="center"/>
        <w:rPr>
          <w:b/>
          <w:u w:val="single"/>
          <w:lang w:val="uk-UA"/>
        </w:rPr>
      </w:pPr>
    </w:p>
    <w:p w:rsidR="00AF7F5D" w:rsidRPr="0012468F" w:rsidRDefault="00982654" w:rsidP="00982654">
      <w:pPr>
        <w:tabs>
          <w:tab w:val="left" w:pos="1530"/>
        </w:tabs>
        <w:jc w:val="center"/>
        <w:rPr>
          <w:b/>
          <w:caps/>
          <w:u w:val="single"/>
          <w:lang w:val="uk-UA"/>
        </w:rPr>
      </w:pPr>
      <w:r w:rsidRPr="0012468F">
        <w:rPr>
          <w:b/>
          <w:caps/>
          <w:u w:val="single"/>
          <w:lang w:val="uk-UA"/>
        </w:rPr>
        <w:t xml:space="preserve">Найбільші платники акцизного податку в сфері </w:t>
      </w:r>
    </w:p>
    <w:p w:rsidR="00AF7F5D" w:rsidRPr="0012468F" w:rsidRDefault="00982654" w:rsidP="00982654">
      <w:pPr>
        <w:tabs>
          <w:tab w:val="left" w:pos="1530"/>
        </w:tabs>
        <w:jc w:val="center"/>
        <w:rPr>
          <w:b/>
          <w:caps/>
          <w:u w:val="single"/>
          <w:lang w:val="uk-UA"/>
        </w:rPr>
      </w:pPr>
      <w:r w:rsidRPr="0012468F">
        <w:rPr>
          <w:b/>
          <w:caps/>
          <w:u w:val="single"/>
          <w:lang w:val="uk-UA"/>
        </w:rPr>
        <w:t xml:space="preserve">роздрібної торгівлі підакцизними товарами </w:t>
      </w:r>
    </w:p>
    <w:p w:rsidR="00982654" w:rsidRPr="0012468F" w:rsidRDefault="00AF7F5D" w:rsidP="00982654">
      <w:pPr>
        <w:tabs>
          <w:tab w:val="left" w:pos="1530"/>
        </w:tabs>
        <w:jc w:val="center"/>
        <w:rPr>
          <w:b/>
          <w:caps/>
          <w:u w:val="single"/>
          <w:lang w:val="uk-UA"/>
        </w:rPr>
      </w:pPr>
      <w:r w:rsidRPr="0012468F">
        <w:rPr>
          <w:b/>
          <w:bCs/>
          <w:caps/>
          <w:u w:val="single"/>
        </w:rPr>
        <w:t xml:space="preserve">ЗА </w:t>
      </w:r>
      <w:r w:rsidR="00B5317E" w:rsidRPr="0012468F">
        <w:rPr>
          <w:b/>
          <w:bCs/>
          <w:caps/>
          <w:u w:val="single"/>
          <w:lang w:val="en-US"/>
        </w:rPr>
        <w:t>I</w:t>
      </w:r>
      <w:r w:rsidRPr="0012468F">
        <w:rPr>
          <w:b/>
          <w:bCs/>
          <w:caps/>
          <w:u w:val="single"/>
        </w:rPr>
        <w:t xml:space="preserve"> </w:t>
      </w:r>
      <w:r w:rsidR="00D4055E" w:rsidRPr="0012468F">
        <w:rPr>
          <w:b/>
          <w:bCs/>
          <w:caps/>
          <w:u w:val="single"/>
          <w:lang w:val="uk-UA"/>
        </w:rPr>
        <w:t>півріччя</w:t>
      </w:r>
      <w:r w:rsidRPr="0012468F">
        <w:rPr>
          <w:b/>
          <w:bCs/>
          <w:caps/>
          <w:u w:val="single"/>
        </w:rPr>
        <w:t xml:space="preserve"> 2023 РОКУ</w:t>
      </w:r>
    </w:p>
    <w:p w:rsidR="00982654" w:rsidRPr="0012468F" w:rsidRDefault="00982654" w:rsidP="00982654">
      <w:pPr>
        <w:tabs>
          <w:tab w:val="left" w:pos="1530"/>
        </w:tabs>
        <w:jc w:val="right"/>
        <w:rPr>
          <w:lang w:val="uk-UA"/>
        </w:rPr>
      </w:pPr>
      <w:r w:rsidRPr="0012468F">
        <w:rPr>
          <w:bCs/>
          <w:iCs/>
          <w:lang w:val="uk-UA"/>
        </w:rPr>
        <w:t>тис.грн</w:t>
      </w:r>
    </w:p>
    <w:tbl>
      <w:tblPr>
        <w:tblW w:w="9781" w:type="dxa"/>
        <w:tblInd w:w="-5" w:type="dxa"/>
        <w:tblLayout w:type="fixed"/>
        <w:tblLook w:val="04A0" w:firstRow="1" w:lastRow="0" w:firstColumn="1" w:lastColumn="0" w:noHBand="0" w:noVBand="1"/>
      </w:tblPr>
      <w:tblGrid>
        <w:gridCol w:w="458"/>
        <w:gridCol w:w="5071"/>
        <w:gridCol w:w="1984"/>
        <w:gridCol w:w="2268"/>
      </w:tblGrid>
      <w:tr w:rsidR="0012468F" w:rsidRPr="0012468F" w:rsidTr="007333B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12468F" w:rsidRDefault="007333B7" w:rsidP="001540C9">
            <w:pPr>
              <w:jc w:val="center"/>
              <w:rPr>
                <w:b/>
                <w:bCs/>
                <w:iCs/>
                <w:lang w:val="uk-UA" w:eastAsia="uk-UA"/>
              </w:rPr>
            </w:pPr>
            <w:r w:rsidRPr="0012468F">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7333B7" w:rsidRPr="0012468F" w:rsidRDefault="007333B7" w:rsidP="001540C9">
            <w:pPr>
              <w:jc w:val="center"/>
              <w:rPr>
                <w:b/>
                <w:bCs/>
                <w:iCs/>
                <w:lang w:val="uk-UA" w:eastAsia="uk-UA"/>
              </w:rPr>
            </w:pPr>
            <w:r w:rsidRPr="0012468F">
              <w:rPr>
                <w:b/>
                <w:bCs/>
                <w:iCs/>
                <w:lang w:val="uk-UA" w:eastAsia="uk-UA"/>
              </w:rPr>
              <w:t xml:space="preserve">Платники </w:t>
            </w:r>
          </w:p>
        </w:tc>
        <w:tc>
          <w:tcPr>
            <w:tcW w:w="1984" w:type="dxa"/>
            <w:tcBorders>
              <w:top w:val="single" w:sz="4" w:space="0" w:color="auto"/>
              <w:left w:val="single" w:sz="4" w:space="0" w:color="auto"/>
              <w:bottom w:val="single" w:sz="4" w:space="0" w:color="auto"/>
              <w:right w:val="single" w:sz="4" w:space="0" w:color="auto"/>
            </w:tcBorders>
            <w:vAlign w:val="center"/>
            <w:hideMark/>
          </w:tcPr>
          <w:p w:rsidR="007333B7" w:rsidRPr="0012468F" w:rsidRDefault="007333B7" w:rsidP="001540C9">
            <w:pPr>
              <w:jc w:val="center"/>
              <w:rPr>
                <w:b/>
                <w:bCs/>
                <w:sz w:val="20"/>
                <w:szCs w:val="20"/>
                <w:lang w:val="uk-UA"/>
              </w:rPr>
            </w:pPr>
            <w:r w:rsidRPr="0012468F">
              <w:rPr>
                <w:b/>
                <w:bCs/>
                <w:sz w:val="20"/>
                <w:szCs w:val="20"/>
                <w:lang w:val="uk-UA"/>
              </w:rPr>
              <w:t xml:space="preserve">АКЦИЗНИЙ ПОДАТОК  </w:t>
            </w:r>
          </w:p>
          <w:p w:rsidR="007333B7" w:rsidRPr="0012468F" w:rsidRDefault="007333B7" w:rsidP="00D4055E">
            <w:pPr>
              <w:jc w:val="center"/>
              <w:rPr>
                <w:b/>
                <w:bCs/>
                <w:iCs/>
                <w:lang w:val="uk-UA" w:eastAsia="uk-UA"/>
              </w:rPr>
            </w:pPr>
            <w:r w:rsidRPr="0012468F">
              <w:rPr>
                <w:b/>
                <w:bCs/>
                <w:sz w:val="20"/>
                <w:szCs w:val="20"/>
                <w:lang w:val="uk-UA"/>
              </w:rPr>
              <w:t xml:space="preserve">за </w:t>
            </w:r>
            <w:r w:rsidRPr="0012468F">
              <w:rPr>
                <w:b/>
                <w:bCs/>
                <w:sz w:val="20"/>
                <w:szCs w:val="20"/>
                <w:lang w:val="en-US"/>
              </w:rPr>
              <w:t>I</w:t>
            </w:r>
            <w:r w:rsidRPr="0012468F">
              <w:rPr>
                <w:b/>
                <w:bCs/>
                <w:sz w:val="20"/>
                <w:szCs w:val="20"/>
                <w:lang w:val="uk-UA"/>
              </w:rPr>
              <w:t xml:space="preserve"> півріччя 2023 року</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12468F" w:rsidRDefault="007333B7" w:rsidP="007333B7">
            <w:pPr>
              <w:jc w:val="center"/>
              <w:rPr>
                <w:b/>
                <w:bCs/>
                <w:iCs/>
                <w:lang w:val="uk-UA" w:eastAsia="uk-UA"/>
              </w:rPr>
            </w:pPr>
            <w:r w:rsidRPr="0012468F">
              <w:rPr>
                <w:b/>
                <w:bCs/>
                <w:sz w:val="20"/>
                <w:szCs w:val="20"/>
                <w:lang w:val="uk-UA"/>
              </w:rPr>
              <w:t>ЧАСТКА ПЛАТНИКА в загальній сумі сплаченого податку</w:t>
            </w:r>
          </w:p>
        </w:tc>
      </w:tr>
      <w:tr w:rsidR="0012468F" w:rsidRPr="0012468F" w:rsidTr="007333B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12468F" w:rsidRDefault="007333B7" w:rsidP="001540C9">
            <w:pPr>
              <w:jc w:val="center"/>
              <w:rPr>
                <w:b/>
                <w:sz w:val="16"/>
                <w:szCs w:val="16"/>
                <w:lang w:val="uk-UA" w:eastAsia="uk-UA"/>
              </w:rPr>
            </w:pPr>
            <w:r w:rsidRPr="0012468F">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7333B7" w:rsidRPr="0012468F" w:rsidRDefault="007333B7" w:rsidP="001540C9">
            <w:pPr>
              <w:jc w:val="center"/>
              <w:rPr>
                <w:b/>
                <w:sz w:val="16"/>
                <w:szCs w:val="16"/>
                <w:lang w:val="uk-UA" w:eastAsia="uk-UA"/>
              </w:rPr>
            </w:pPr>
            <w:r w:rsidRPr="0012468F">
              <w:rPr>
                <w:b/>
                <w:sz w:val="16"/>
                <w:szCs w:val="16"/>
                <w:lang w:val="uk-UA" w:eastAsia="uk-UA"/>
              </w:rPr>
              <w:t>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7333B7" w:rsidRPr="0012468F" w:rsidRDefault="007333B7" w:rsidP="001540C9">
            <w:pPr>
              <w:jc w:val="center"/>
              <w:rPr>
                <w:b/>
                <w:sz w:val="16"/>
                <w:szCs w:val="16"/>
                <w:lang w:val="uk-UA" w:eastAsia="uk-UA"/>
              </w:rPr>
            </w:pPr>
            <w:r w:rsidRPr="0012468F">
              <w:rPr>
                <w:b/>
                <w:sz w:val="16"/>
                <w:szCs w:val="16"/>
                <w:lang w:val="uk-UA" w:eastAsia="uk-UA"/>
              </w:rPr>
              <w:t>3</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12468F" w:rsidRDefault="007333B7" w:rsidP="001540C9">
            <w:pPr>
              <w:jc w:val="center"/>
              <w:rPr>
                <w:b/>
                <w:sz w:val="16"/>
                <w:szCs w:val="16"/>
                <w:lang w:val="uk-UA" w:eastAsia="uk-UA"/>
              </w:rPr>
            </w:pPr>
            <w:r w:rsidRPr="0012468F">
              <w:rPr>
                <w:b/>
                <w:sz w:val="16"/>
                <w:szCs w:val="16"/>
                <w:lang w:val="uk-UA" w:eastAsia="uk-UA"/>
              </w:rPr>
              <w:t>3</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7333B7" w:rsidRPr="0012468F" w:rsidRDefault="007333B7" w:rsidP="007333B7">
            <w:pPr>
              <w:rPr>
                <w:lang w:val="uk-UA" w:eastAsia="uk-UA"/>
              </w:rPr>
            </w:pPr>
            <w:r w:rsidRPr="0012468F">
              <w:rPr>
                <w:lang w:val="uk-UA" w:eastAsia="uk-UA"/>
              </w:rPr>
              <w:t>1</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"НОВУС УКРАЇНА"</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2 182,8</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25,1%</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2</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ТОВ"АТБ-маркет"</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pPr>
            <w:r w:rsidRPr="0012468F">
              <w:t>1 065,4</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12,3%</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pPr>
            <w:r w:rsidRPr="0012468F">
              <w:rPr>
                <w:lang w:val="uk-UA"/>
              </w:rPr>
              <w:t>3</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"СІЛЬПО-ФУД"</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1 025,4</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11,8%</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4</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"ФОРА"</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737,1</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8,5%</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7333B7" w:rsidRPr="0012468F" w:rsidRDefault="007333B7" w:rsidP="007333B7">
            <w:pPr>
              <w:jc w:val="center"/>
              <w:rPr>
                <w:lang w:val="uk-UA" w:eastAsia="uk-UA"/>
              </w:rPr>
            </w:pPr>
            <w:r w:rsidRPr="0012468F">
              <w:rPr>
                <w:lang w:val="uk-UA" w:eastAsia="uk-UA"/>
              </w:rPr>
              <w:t>5</w:t>
            </w:r>
          </w:p>
        </w:tc>
        <w:tc>
          <w:tcPr>
            <w:tcW w:w="5071" w:type="dxa"/>
            <w:tcBorders>
              <w:top w:val="nil"/>
              <w:left w:val="nil"/>
              <w:bottom w:val="single" w:sz="4" w:space="0" w:color="auto"/>
              <w:right w:val="single" w:sz="4" w:space="0" w:color="auto"/>
            </w:tcBorders>
            <w:hideMark/>
          </w:tcPr>
          <w:p w:rsidR="007333B7" w:rsidRPr="0012468F" w:rsidRDefault="007333B7" w:rsidP="007333B7">
            <w:r w:rsidRPr="0012468F">
              <w:t>ТОВ "ЕКО"</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548,5</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6,3%</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pPr>
            <w:r w:rsidRPr="0012468F">
              <w:t>6</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t>ОТК ЄВРОПЛЮС ТОВ</w:t>
            </w:r>
            <w:r w:rsidRPr="0012468F">
              <w:rPr>
                <w:lang w:val="uk-UA"/>
              </w:rPr>
              <w:t xml:space="preserve"> («ROZETKA»)</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504,2</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5,8%</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7</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t>ТОВ "БАРРIК"</w:t>
            </w:r>
            <w:r w:rsidRPr="0012468F">
              <w:rPr>
                <w:lang w:val="uk-UA"/>
              </w:rPr>
              <w:t xml:space="preserve"> («</w:t>
            </w:r>
            <w:r w:rsidRPr="0012468F">
              <w:rPr>
                <w:lang w:val="en-US"/>
              </w:rPr>
              <w:t>Okwine</w:t>
            </w:r>
            <w:r w:rsidRPr="0012468F">
              <w:rPr>
                <w:lang w:val="uk-UA"/>
              </w:rPr>
              <w:t>»)</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344,4</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4,0%</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7333B7" w:rsidRPr="0012468F" w:rsidRDefault="007333B7" w:rsidP="007333B7">
            <w:pPr>
              <w:jc w:val="center"/>
              <w:rPr>
                <w:lang w:val="uk-UA" w:eastAsia="uk-UA"/>
              </w:rPr>
            </w:pPr>
            <w:r w:rsidRPr="0012468F">
              <w:rPr>
                <w:lang w:val="uk-UA" w:eastAsia="uk-UA"/>
              </w:rPr>
              <w:lastRenderedPageBreak/>
              <w:t>8</w:t>
            </w:r>
          </w:p>
        </w:tc>
        <w:tc>
          <w:tcPr>
            <w:tcW w:w="5071" w:type="dxa"/>
            <w:tcBorders>
              <w:top w:val="nil"/>
              <w:left w:val="nil"/>
              <w:bottom w:val="single" w:sz="4" w:space="0" w:color="auto"/>
              <w:right w:val="single" w:sz="4" w:space="0" w:color="auto"/>
            </w:tcBorders>
            <w:hideMark/>
          </w:tcPr>
          <w:p w:rsidR="007333B7" w:rsidRPr="0012468F" w:rsidRDefault="007333B7" w:rsidP="006B4E1D">
            <w:pPr>
              <w:rPr>
                <w:lang w:val="uk-UA"/>
              </w:rPr>
            </w:pPr>
            <w:r w:rsidRPr="0012468F">
              <w:t>ТОВ "МАСМАРТ"</w:t>
            </w:r>
            <w:r w:rsidR="00287960" w:rsidRPr="0012468F">
              <w:rPr>
                <w:lang w:val="uk-UA"/>
              </w:rPr>
              <w:t xml:space="preserve"> </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331,2</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3,8%</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9</w:t>
            </w:r>
          </w:p>
        </w:tc>
        <w:tc>
          <w:tcPr>
            <w:tcW w:w="5071" w:type="dxa"/>
            <w:tcBorders>
              <w:top w:val="nil"/>
              <w:left w:val="nil"/>
              <w:bottom w:val="single" w:sz="4" w:space="0" w:color="auto"/>
              <w:right w:val="single" w:sz="4" w:space="0" w:color="auto"/>
            </w:tcBorders>
          </w:tcPr>
          <w:p w:rsidR="007333B7" w:rsidRPr="0012468F" w:rsidRDefault="007333B7" w:rsidP="007333B7">
            <w:r w:rsidRPr="0012468F">
              <w:t>ПП "Преміум-1"(«Оболонь»)</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235,5</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2,7%</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7333B7" w:rsidRPr="0012468F" w:rsidRDefault="007333B7" w:rsidP="007333B7">
            <w:pPr>
              <w:jc w:val="center"/>
              <w:rPr>
                <w:lang w:val="uk-UA" w:eastAsia="uk-UA"/>
              </w:rPr>
            </w:pPr>
            <w:r w:rsidRPr="0012468F">
              <w:rPr>
                <w:lang w:val="uk-UA" w:eastAsia="uk-UA"/>
              </w:rPr>
              <w:t>10</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t>ТОВ "РІДО ГРУП"</w:t>
            </w:r>
            <w:r w:rsidRPr="0012468F">
              <w:rPr>
                <w:lang w:val="uk-UA"/>
              </w:rPr>
              <w:t xml:space="preserve"> </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233,0</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2,7%</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11</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"АРІТЕЙЛ"</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155,2</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1,8%</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12</w:t>
            </w:r>
          </w:p>
        </w:tc>
        <w:tc>
          <w:tcPr>
            <w:tcW w:w="5071" w:type="dxa"/>
            <w:tcBorders>
              <w:top w:val="nil"/>
              <w:left w:val="nil"/>
              <w:bottom w:val="single" w:sz="4" w:space="0" w:color="auto"/>
              <w:right w:val="single" w:sz="4" w:space="0" w:color="auto"/>
            </w:tcBorders>
          </w:tcPr>
          <w:p w:rsidR="007333B7" w:rsidRPr="0012468F" w:rsidRDefault="007333B7" w:rsidP="007333B7">
            <w:r w:rsidRPr="0012468F">
              <w:t>ТОВ "ЛК-ТРАНС"</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145,1</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1,7%</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7333B7" w:rsidRPr="0012468F" w:rsidRDefault="007333B7" w:rsidP="007333B7">
            <w:pPr>
              <w:jc w:val="center"/>
              <w:rPr>
                <w:lang w:val="uk-UA" w:eastAsia="uk-UA"/>
              </w:rPr>
            </w:pPr>
            <w:r w:rsidRPr="0012468F">
              <w:rPr>
                <w:lang w:val="uk-UA" w:eastAsia="uk-UA"/>
              </w:rPr>
              <w:t>13</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rPr>
                <w:lang w:val="uk-UA"/>
              </w:rPr>
              <w:t>ТОВ "БАРКАС"</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91,6</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1,1%</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7333B7" w:rsidRPr="0012468F" w:rsidRDefault="007333B7" w:rsidP="007333B7">
            <w:pPr>
              <w:jc w:val="center"/>
              <w:rPr>
                <w:lang w:val="uk-UA" w:eastAsia="uk-UA"/>
              </w:rPr>
            </w:pPr>
            <w:r w:rsidRPr="0012468F">
              <w:rPr>
                <w:lang w:val="uk-UA" w:eastAsia="uk-UA"/>
              </w:rPr>
              <w:t>14</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rPr>
                <w:lang w:val="uk-UA"/>
              </w:rPr>
              <w:t>ТОВ "ША"</w:t>
            </w:r>
            <w:r w:rsidR="00287960" w:rsidRPr="0012468F">
              <w:rPr>
                <w:lang w:val="uk-UA"/>
              </w:rPr>
              <w:t xml:space="preserve"> </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83,3</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1,0%</w:t>
            </w:r>
          </w:p>
        </w:tc>
      </w:tr>
      <w:tr w:rsidR="0012468F" w:rsidRPr="0012468F" w:rsidTr="007333B7">
        <w:trPr>
          <w:trHeight w:val="264"/>
        </w:trPr>
        <w:tc>
          <w:tcPr>
            <w:tcW w:w="458" w:type="dxa"/>
            <w:tcBorders>
              <w:top w:val="nil"/>
              <w:left w:val="single" w:sz="4" w:space="0" w:color="auto"/>
              <w:bottom w:val="single" w:sz="4" w:space="0" w:color="auto"/>
              <w:right w:val="single" w:sz="4" w:space="0" w:color="auto"/>
            </w:tcBorders>
            <w:noWrap/>
          </w:tcPr>
          <w:p w:rsidR="007333B7" w:rsidRPr="0012468F" w:rsidRDefault="007333B7" w:rsidP="007333B7">
            <w:pPr>
              <w:jc w:val="center"/>
              <w:rPr>
                <w:lang w:val="uk-UA"/>
              </w:rPr>
            </w:pPr>
            <w:r w:rsidRPr="0012468F">
              <w:rPr>
                <w:lang w:val="uk-UA"/>
              </w:rPr>
              <w:t>15</w:t>
            </w:r>
          </w:p>
        </w:tc>
        <w:tc>
          <w:tcPr>
            <w:tcW w:w="5071" w:type="dxa"/>
            <w:tcBorders>
              <w:top w:val="nil"/>
              <w:left w:val="nil"/>
              <w:bottom w:val="single" w:sz="4" w:space="0" w:color="auto"/>
              <w:right w:val="single" w:sz="4" w:space="0" w:color="auto"/>
            </w:tcBorders>
          </w:tcPr>
          <w:p w:rsidR="007333B7" w:rsidRPr="0012468F" w:rsidRDefault="007333B7" w:rsidP="007333B7">
            <w:pPr>
              <w:rPr>
                <w:lang w:val="uk-UA"/>
              </w:rPr>
            </w:pPr>
            <w:r w:rsidRPr="0012468F">
              <w:t xml:space="preserve">ТОВ "ЄВРО СМАРТ ПАУЕР" </w:t>
            </w:r>
            <w:r w:rsidRPr="0012468F">
              <w:rPr>
                <w:lang w:val="uk-UA"/>
              </w:rPr>
              <w:t>(«БРСМ»)</w:t>
            </w:r>
          </w:p>
        </w:tc>
        <w:tc>
          <w:tcPr>
            <w:tcW w:w="1984" w:type="dxa"/>
            <w:tcBorders>
              <w:top w:val="nil"/>
              <w:left w:val="single" w:sz="4" w:space="0" w:color="auto"/>
              <w:bottom w:val="single" w:sz="4" w:space="0" w:color="auto"/>
              <w:right w:val="single" w:sz="4" w:space="0" w:color="auto"/>
            </w:tcBorders>
          </w:tcPr>
          <w:p w:rsidR="007333B7" w:rsidRPr="0012468F" w:rsidRDefault="007333B7" w:rsidP="007333B7">
            <w:pPr>
              <w:jc w:val="right"/>
              <w:rPr>
                <w:lang w:val="uk-UA"/>
              </w:rPr>
            </w:pPr>
            <w:r w:rsidRPr="0012468F">
              <w:rPr>
                <w:lang w:val="uk-UA"/>
              </w:rPr>
              <w:t>49,5</w:t>
            </w:r>
          </w:p>
        </w:tc>
        <w:tc>
          <w:tcPr>
            <w:tcW w:w="2268" w:type="dxa"/>
            <w:tcBorders>
              <w:top w:val="nil"/>
              <w:left w:val="single" w:sz="4" w:space="0" w:color="auto"/>
              <w:bottom w:val="single" w:sz="4" w:space="0" w:color="auto"/>
              <w:right w:val="single" w:sz="4" w:space="0" w:color="auto"/>
            </w:tcBorders>
          </w:tcPr>
          <w:p w:rsidR="007333B7" w:rsidRPr="0012468F" w:rsidRDefault="007333B7" w:rsidP="007333B7">
            <w:pPr>
              <w:jc w:val="center"/>
            </w:pPr>
            <w:r w:rsidRPr="0012468F">
              <w:t>0,6%</w:t>
            </w:r>
          </w:p>
        </w:tc>
      </w:tr>
    </w:tbl>
    <w:p w:rsidR="00982654" w:rsidRPr="00750CF4" w:rsidRDefault="00982654" w:rsidP="00FB555B">
      <w:pPr>
        <w:rPr>
          <w:b/>
          <w:bCs/>
          <w:color w:val="7030A0"/>
          <w:u w:val="single"/>
          <w:lang w:val="uk-UA"/>
        </w:rPr>
      </w:pPr>
    </w:p>
    <w:p w:rsidR="0018133D" w:rsidRPr="00913437" w:rsidRDefault="0018133D" w:rsidP="00FB555B">
      <w:pPr>
        <w:rPr>
          <w:b/>
          <w:bCs/>
          <w:u w:val="single"/>
          <w:lang w:val="uk-UA"/>
        </w:rPr>
      </w:pPr>
    </w:p>
    <w:p w:rsidR="00982654" w:rsidRPr="002F0180" w:rsidRDefault="00982654" w:rsidP="00982654">
      <w:pPr>
        <w:jc w:val="center"/>
        <w:rPr>
          <w:b/>
          <w:u w:val="single"/>
          <w:lang w:val="uk-UA"/>
        </w:rPr>
      </w:pPr>
      <w:r w:rsidRPr="002F0180">
        <w:rPr>
          <w:b/>
          <w:bCs/>
          <w:u w:val="single"/>
          <w:lang w:val="uk-UA"/>
        </w:rPr>
        <w:t>Податок на майно</w:t>
      </w:r>
      <w:r w:rsidRPr="002F0180">
        <w:rPr>
          <w:b/>
          <w:u w:val="single"/>
          <w:lang w:val="uk-UA"/>
        </w:rPr>
        <w:t xml:space="preserve"> </w:t>
      </w:r>
    </w:p>
    <w:p w:rsidR="00982654" w:rsidRPr="002F0180" w:rsidRDefault="00982654" w:rsidP="00982654">
      <w:pPr>
        <w:jc w:val="center"/>
        <w:rPr>
          <w:lang w:val="uk-UA"/>
        </w:rPr>
      </w:pPr>
    </w:p>
    <w:p w:rsidR="00982654" w:rsidRPr="002F0180" w:rsidRDefault="00982654" w:rsidP="00FB555B">
      <w:pPr>
        <w:tabs>
          <w:tab w:val="left" w:pos="1530"/>
        </w:tabs>
        <w:ind w:firstLine="567"/>
        <w:jc w:val="both"/>
        <w:rPr>
          <w:bCs/>
          <w:lang w:val="uk-UA"/>
        </w:rPr>
      </w:pPr>
      <w:r w:rsidRPr="002F0180">
        <w:rPr>
          <w:lang w:val="uk-UA"/>
        </w:rPr>
        <w:t xml:space="preserve">Надходження коштів податку на майно до місцевого бюджету Бучанської міської територіальної громади </w:t>
      </w:r>
      <w:r w:rsidRPr="002F0180">
        <w:rPr>
          <w:bCs/>
          <w:lang w:val="uk-UA"/>
        </w:rPr>
        <w:t xml:space="preserve">за </w:t>
      </w:r>
      <w:r w:rsidR="00B5317E" w:rsidRPr="002F0180">
        <w:rPr>
          <w:bCs/>
          <w:lang w:val="en-US"/>
        </w:rPr>
        <w:t>I</w:t>
      </w:r>
      <w:r w:rsidR="00D522F4" w:rsidRPr="002F0180">
        <w:rPr>
          <w:bCs/>
          <w:lang w:val="uk-UA"/>
        </w:rPr>
        <w:t xml:space="preserve"> </w:t>
      </w:r>
      <w:r w:rsidR="00A334E9" w:rsidRPr="002F0180">
        <w:rPr>
          <w:bCs/>
          <w:lang w:val="uk-UA"/>
        </w:rPr>
        <w:t>півріччя</w:t>
      </w:r>
      <w:r w:rsidR="00D522F4" w:rsidRPr="002F0180">
        <w:rPr>
          <w:bCs/>
          <w:lang w:val="uk-UA"/>
        </w:rPr>
        <w:t xml:space="preserve"> 2023 року </w:t>
      </w:r>
      <w:r w:rsidRPr="002F0180">
        <w:rPr>
          <w:bCs/>
          <w:lang w:val="uk-UA"/>
        </w:rPr>
        <w:t xml:space="preserve">становить </w:t>
      </w:r>
      <w:r w:rsidR="00A334E9" w:rsidRPr="002F0180">
        <w:rPr>
          <w:lang w:val="uk-UA"/>
        </w:rPr>
        <w:t>38 520,0</w:t>
      </w:r>
      <w:r w:rsidRPr="002F0180">
        <w:rPr>
          <w:lang w:val="uk-UA"/>
        </w:rPr>
        <w:t xml:space="preserve"> тис. грн</w:t>
      </w:r>
      <w:r w:rsidRPr="002F0180">
        <w:rPr>
          <w:bCs/>
          <w:lang w:val="uk-UA"/>
        </w:rPr>
        <w:t xml:space="preserve">, що на </w:t>
      </w:r>
      <w:r w:rsidR="00A334E9" w:rsidRPr="002F0180">
        <w:rPr>
          <w:bCs/>
          <w:lang w:val="uk-UA"/>
        </w:rPr>
        <w:t>16 015,5</w:t>
      </w:r>
      <w:r w:rsidRPr="002F0180">
        <w:rPr>
          <w:bCs/>
          <w:lang w:val="uk-UA"/>
        </w:rPr>
        <w:t xml:space="preserve"> тис. грн </w:t>
      </w:r>
      <w:r w:rsidR="00D522F4" w:rsidRPr="002F0180">
        <w:rPr>
          <w:bCs/>
          <w:lang w:val="uk-UA"/>
        </w:rPr>
        <w:t>біль</w:t>
      </w:r>
      <w:r w:rsidRPr="002F0180">
        <w:rPr>
          <w:bCs/>
          <w:lang w:val="uk-UA"/>
        </w:rPr>
        <w:t xml:space="preserve">ше проти уточнених планових призначень та складає </w:t>
      </w:r>
      <w:r w:rsidR="00A334E9" w:rsidRPr="002F0180">
        <w:rPr>
          <w:bCs/>
          <w:lang w:val="uk-UA"/>
        </w:rPr>
        <w:t>171,2</w:t>
      </w:r>
      <w:r w:rsidRPr="002F0180">
        <w:rPr>
          <w:bCs/>
          <w:lang w:val="uk-UA"/>
        </w:rPr>
        <w:t>% виконання плану.</w:t>
      </w:r>
      <w:r w:rsidRPr="002F0180">
        <w:rPr>
          <w:lang w:val="uk-UA"/>
        </w:rPr>
        <w:t xml:space="preserve"> У порівнянні</w:t>
      </w:r>
      <w:r w:rsidR="00D522F4" w:rsidRPr="002F0180">
        <w:rPr>
          <w:lang w:val="uk-UA"/>
        </w:rPr>
        <w:t xml:space="preserve"> з</w:t>
      </w:r>
      <w:r w:rsidRPr="002F0180">
        <w:rPr>
          <w:lang w:val="uk-UA"/>
        </w:rPr>
        <w:t xml:space="preserve"> </w:t>
      </w:r>
      <w:r w:rsidR="00B5317E" w:rsidRPr="002F0180">
        <w:rPr>
          <w:lang w:val="en-US"/>
        </w:rPr>
        <w:t>I</w:t>
      </w:r>
      <w:r w:rsidR="00D522F4" w:rsidRPr="002F0180">
        <w:rPr>
          <w:lang w:val="uk-UA"/>
        </w:rPr>
        <w:t xml:space="preserve"> </w:t>
      </w:r>
      <w:r w:rsidR="00A334E9" w:rsidRPr="002F0180">
        <w:rPr>
          <w:lang w:val="uk-UA"/>
        </w:rPr>
        <w:t>півріччям</w:t>
      </w:r>
      <w:r w:rsidR="00D522F4" w:rsidRPr="002F0180">
        <w:rPr>
          <w:lang w:val="uk-UA"/>
        </w:rPr>
        <w:t xml:space="preserve"> 2022 року </w:t>
      </w:r>
      <w:r w:rsidRPr="002F0180">
        <w:rPr>
          <w:lang w:val="uk-UA"/>
        </w:rPr>
        <w:t>спостерігається з</w:t>
      </w:r>
      <w:r w:rsidR="00D522F4" w:rsidRPr="002F0180">
        <w:rPr>
          <w:lang w:val="uk-UA"/>
        </w:rPr>
        <w:t>більш</w:t>
      </w:r>
      <w:r w:rsidRPr="002F0180">
        <w:rPr>
          <w:lang w:val="uk-UA"/>
        </w:rPr>
        <w:t xml:space="preserve">ення надходжень на </w:t>
      </w:r>
      <w:r w:rsidR="00A334E9" w:rsidRPr="002F0180">
        <w:rPr>
          <w:lang w:val="uk-UA"/>
        </w:rPr>
        <w:t>18 413,6</w:t>
      </w:r>
      <w:r w:rsidR="00E41C2E" w:rsidRPr="002F0180">
        <w:rPr>
          <w:lang w:val="uk-UA"/>
        </w:rPr>
        <w:t xml:space="preserve"> тис. грн,</w:t>
      </w:r>
      <w:r w:rsidRPr="002F0180">
        <w:rPr>
          <w:lang w:val="uk-UA"/>
        </w:rPr>
        <w:t xml:space="preserve"> </w:t>
      </w:r>
      <w:r w:rsidR="00E41C2E" w:rsidRPr="002F0180">
        <w:rPr>
          <w:lang w:val="uk-UA"/>
        </w:rPr>
        <w:t xml:space="preserve">що складає </w:t>
      </w:r>
      <w:r w:rsidR="00A334E9" w:rsidRPr="002F0180">
        <w:rPr>
          <w:lang w:val="uk-UA"/>
        </w:rPr>
        <w:t>191,6</w:t>
      </w:r>
      <w:r w:rsidR="00E41C2E" w:rsidRPr="002F0180">
        <w:rPr>
          <w:lang w:val="uk-UA"/>
        </w:rPr>
        <w:t>%.</w:t>
      </w:r>
      <w:r w:rsidRPr="002F0180">
        <w:rPr>
          <w:bCs/>
          <w:lang w:val="uk-UA"/>
        </w:rPr>
        <w:t xml:space="preserve"> </w:t>
      </w:r>
    </w:p>
    <w:p w:rsidR="004B0903" w:rsidRPr="00B65DCB" w:rsidRDefault="004B0903" w:rsidP="00FB555B">
      <w:pPr>
        <w:tabs>
          <w:tab w:val="left" w:pos="1530"/>
        </w:tabs>
        <w:ind w:firstLine="567"/>
        <w:jc w:val="both"/>
        <w:rPr>
          <w:bCs/>
        </w:rPr>
      </w:pPr>
      <w:r w:rsidRPr="002F0180">
        <w:rPr>
          <w:bCs/>
          <w:lang w:val="uk-UA"/>
        </w:rPr>
        <w:t xml:space="preserve">На період дії військового стану в країні, Верховною Радою України було прийнято ряд нормативних документів, що мають прямий вплив на систему оподаткування </w:t>
      </w:r>
      <w:r w:rsidR="00206A8F" w:rsidRPr="002F0180">
        <w:rPr>
          <w:bCs/>
          <w:lang w:val="uk-UA"/>
        </w:rPr>
        <w:t xml:space="preserve">вцілому та оподаткування </w:t>
      </w:r>
      <w:r w:rsidRPr="002F0180">
        <w:rPr>
          <w:bCs/>
          <w:lang w:val="uk-UA"/>
        </w:rPr>
        <w:t>податком на майно</w:t>
      </w:r>
      <w:r w:rsidR="00206A8F" w:rsidRPr="002F0180">
        <w:rPr>
          <w:bCs/>
          <w:lang w:val="uk-UA"/>
        </w:rPr>
        <w:t xml:space="preserve"> в тому числі</w:t>
      </w:r>
      <w:r w:rsidRPr="002F0180">
        <w:rPr>
          <w:bCs/>
          <w:lang w:val="uk-UA"/>
        </w:rPr>
        <w:t>.  Зокрема, певна невизначеність законодавства, період окупації</w:t>
      </w:r>
      <w:r w:rsidRPr="002F0180">
        <w:t xml:space="preserve"> </w:t>
      </w:r>
      <w:r w:rsidRPr="002F0180">
        <w:rPr>
          <w:bCs/>
          <w:lang w:val="uk-UA"/>
        </w:rPr>
        <w:t>громади військовими формуваннями російської федерації та період поступового відновлення</w:t>
      </w:r>
      <w:r w:rsidRPr="002F0180">
        <w:t xml:space="preserve"> </w:t>
      </w:r>
      <w:r w:rsidRPr="002F0180">
        <w:rPr>
          <w:bCs/>
          <w:lang w:val="uk-UA"/>
        </w:rPr>
        <w:t xml:space="preserve">Бучанської міської територіальної 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w:t>
      </w:r>
      <w:r w:rsidR="00B5317E" w:rsidRPr="002F0180">
        <w:rPr>
          <w:bCs/>
          <w:lang w:val="en-US"/>
        </w:rPr>
        <w:t>I</w:t>
      </w:r>
      <w:r w:rsidRPr="002F0180">
        <w:rPr>
          <w:bCs/>
          <w:lang w:val="uk-UA"/>
        </w:rPr>
        <w:t xml:space="preserve"> </w:t>
      </w:r>
      <w:r w:rsidR="009E72CF" w:rsidRPr="002F0180">
        <w:rPr>
          <w:bCs/>
          <w:lang w:val="uk-UA"/>
        </w:rPr>
        <w:t>півріччі</w:t>
      </w:r>
      <w:r w:rsidRPr="002F0180">
        <w:rPr>
          <w:bCs/>
          <w:lang w:val="uk-UA"/>
        </w:rPr>
        <w:t xml:space="preserve"> 2023 року.</w:t>
      </w:r>
      <w:r w:rsidR="00267A3D" w:rsidRPr="002F0180">
        <w:rPr>
          <w:bCs/>
          <w:lang w:val="uk-UA"/>
        </w:rPr>
        <w:t xml:space="preserve"> </w:t>
      </w:r>
    </w:p>
    <w:p w:rsidR="00982654" w:rsidRPr="002F0180" w:rsidRDefault="00982654" w:rsidP="00FB555B">
      <w:pPr>
        <w:ind w:firstLine="567"/>
        <w:jc w:val="both"/>
        <w:rPr>
          <w:bCs/>
          <w:lang w:val="uk-UA"/>
        </w:rPr>
      </w:pPr>
      <w:r w:rsidRPr="002F0180">
        <w:rPr>
          <w:lang w:val="uk-UA"/>
        </w:rPr>
        <w:t>До податку на майно входять:</w:t>
      </w:r>
      <w:r w:rsidR="00CE1628" w:rsidRPr="002F0180">
        <w:t xml:space="preserve"> </w:t>
      </w:r>
      <w:r w:rsidR="00CE1628" w:rsidRPr="002F0180">
        <w:rPr>
          <w:lang w:val="uk-UA"/>
        </w:rPr>
        <w:t xml:space="preserve">плата за землю, </w:t>
      </w:r>
      <w:r w:rsidRPr="002F0180">
        <w:rPr>
          <w:lang w:val="uk-UA"/>
        </w:rPr>
        <w:t>податок на нерухоме майно, відмінне від земельної ділянки, та транспортний податок. Зокрема:</w:t>
      </w:r>
    </w:p>
    <w:p w:rsidR="00982654" w:rsidRPr="002F0180" w:rsidRDefault="00982654" w:rsidP="000B3CD5">
      <w:pPr>
        <w:numPr>
          <w:ilvl w:val="0"/>
          <w:numId w:val="13"/>
        </w:numPr>
        <w:tabs>
          <w:tab w:val="left" w:pos="851"/>
        </w:tabs>
        <w:ind w:left="0" w:firstLine="567"/>
        <w:jc w:val="both"/>
        <w:rPr>
          <w:lang w:val="uk-UA"/>
        </w:rPr>
      </w:pPr>
      <w:r w:rsidRPr="002F0180">
        <w:rPr>
          <w:bCs/>
          <w:i/>
          <w:u w:val="single"/>
          <w:lang w:val="uk-UA"/>
        </w:rPr>
        <w:t xml:space="preserve">Податку на нерухоме майно, </w:t>
      </w:r>
      <w:r w:rsidRPr="002F0180">
        <w:rPr>
          <w:i/>
          <w:u w:val="single"/>
          <w:lang w:val="uk-UA"/>
        </w:rPr>
        <w:t>відмінного від земельної ділянки</w:t>
      </w:r>
      <w:r w:rsidRPr="002F0180">
        <w:rPr>
          <w:lang w:val="uk-UA"/>
        </w:rPr>
        <w:t xml:space="preserve"> надійшло </w:t>
      </w:r>
      <w:r w:rsidR="00981BA0" w:rsidRPr="00B65DCB">
        <w:t>8</w:t>
      </w:r>
      <w:r w:rsidR="00981BA0" w:rsidRPr="002F0180">
        <w:rPr>
          <w:lang w:val="en-US"/>
        </w:rPr>
        <w:t> </w:t>
      </w:r>
      <w:r w:rsidR="00981BA0" w:rsidRPr="00B65DCB">
        <w:t>068</w:t>
      </w:r>
      <w:r w:rsidR="00981BA0" w:rsidRPr="002F0180">
        <w:rPr>
          <w:lang w:val="uk-UA"/>
        </w:rPr>
        <w:t>,2</w:t>
      </w:r>
      <w:r w:rsidRPr="002F0180">
        <w:rPr>
          <w:lang w:val="uk-UA"/>
        </w:rPr>
        <w:t xml:space="preserve"> тис. грн, що на </w:t>
      </w:r>
      <w:r w:rsidR="00981BA0" w:rsidRPr="002F0180">
        <w:rPr>
          <w:lang w:val="uk-UA"/>
        </w:rPr>
        <w:t>3 743,2</w:t>
      </w:r>
      <w:r w:rsidRPr="002F0180">
        <w:rPr>
          <w:lang w:val="uk-UA"/>
        </w:rPr>
        <w:t xml:space="preserve"> тис. грн </w:t>
      </w:r>
      <w:r w:rsidR="00F947EA" w:rsidRPr="002F0180">
        <w:rPr>
          <w:lang w:val="uk-UA"/>
        </w:rPr>
        <w:t>біль</w:t>
      </w:r>
      <w:r w:rsidRPr="002F0180">
        <w:rPr>
          <w:lang w:val="uk-UA"/>
        </w:rPr>
        <w:t xml:space="preserve">ше проти плану на відповідний період та становить </w:t>
      </w:r>
      <w:r w:rsidR="0081093D" w:rsidRPr="002F0180">
        <w:rPr>
          <w:lang w:val="uk-UA"/>
        </w:rPr>
        <w:t>186,5</w:t>
      </w:r>
      <w:r w:rsidRPr="002F0180">
        <w:rPr>
          <w:lang w:val="uk-UA"/>
        </w:rPr>
        <w:t xml:space="preserve">% виконання. </w:t>
      </w:r>
      <w:r w:rsidR="000225EF" w:rsidRPr="002F0180">
        <w:rPr>
          <w:lang w:val="uk-UA"/>
        </w:rPr>
        <w:t>З</w:t>
      </w:r>
      <w:r w:rsidR="00F947EA" w:rsidRPr="002F0180">
        <w:rPr>
          <w:lang w:val="uk-UA"/>
        </w:rPr>
        <w:t>біль</w:t>
      </w:r>
      <w:r w:rsidR="000225EF" w:rsidRPr="002F0180">
        <w:rPr>
          <w:lang w:val="uk-UA"/>
        </w:rPr>
        <w:t>шення надходжень,</w:t>
      </w:r>
      <w:r w:rsidRPr="002F0180">
        <w:rPr>
          <w:lang w:val="uk-UA"/>
        </w:rPr>
        <w:t xml:space="preserve">  порівняно з відповідним періодом минулого року</w:t>
      </w:r>
      <w:r w:rsidR="000225EF" w:rsidRPr="002F0180">
        <w:rPr>
          <w:lang w:val="uk-UA"/>
        </w:rPr>
        <w:t xml:space="preserve">, </w:t>
      </w:r>
      <w:r w:rsidR="00CD1CCD" w:rsidRPr="002F0180">
        <w:rPr>
          <w:lang w:val="uk-UA"/>
        </w:rPr>
        <w:t xml:space="preserve">становить </w:t>
      </w:r>
      <w:r w:rsidR="000225EF" w:rsidRPr="002F0180">
        <w:rPr>
          <w:lang w:val="uk-UA"/>
        </w:rPr>
        <w:t xml:space="preserve">на </w:t>
      </w:r>
      <w:r w:rsidR="00EF1F26" w:rsidRPr="002F0180">
        <w:rPr>
          <w:lang w:val="uk-UA"/>
        </w:rPr>
        <w:t>4 025,7</w:t>
      </w:r>
      <w:r w:rsidR="000225EF" w:rsidRPr="002F0180">
        <w:rPr>
          <w:lang w:val="uk-UA"/>
        </w:rPr>
        <w:t xml:space="preserve"> тис. грн</w:t>
      </w:r>
      <w:r w:rsidR="00CD1CCD" w:rsidRPr="002F0180">
        <w:rPr>
          <w:lang w:val="uk-UA"/>
        </w:rPr>
        <w:t xml:space="preserve"> </w:t>
      </w:r>
      <w:r w:rsidR="00F947EA" w:rsidRPr="002F0180">
        <w:rPr>
          <w:lang w:val="uk-UA"/>
        </w:rPr>
        <w:t>біль</w:t>
      </w:r>
      <w:r w:rsidR="00CD1CCD" w:rsidRPr="002F0180">
        <w:rPr>
          <w:lang w:val="uk-UA"/>
        </w:rPr>
        <w:t>ше</w:t>
      </w:r>
      <w:r w:rsidR="000225EF" w:rsidRPr="002F0180">
        <w:rPr>
          <w:lang w:val="uk-UA"/>
        </w:rPr>
        <w:t xml:space="preserve">, </w:t>
      </w:r>
      <w:r w:rsidR="00CD1CCD" w:rsidRPr="002F0180">
        <w:rPr>
          <w:lang w:val="uk-UA"/>
        </w:rPr>
        <w:t>та</w:t>
      </w:r>
      <w:r w:rsidR="000225EF" w:rsidRPr="002F0180">
        <w:rPr>
          <w:lang w:val="uk-UA"/>
        </w:rPr>
        <w:t xml:space="preserve"> складає </w:t>
      </w:r>
      <w:r w:rsidR="00EF1F26" w:rsidRPr="002F0180">
        <w:rPr>
          <w:lang w:val="uk-UA"/>
        </w:rPr>
        <w:t>199,6</w:t>
      </w:r>
      <w:r w:rsidRPr="002F0180">
        <w:rPr>
          <w:lang w:val="uk-UA"/>
        </w:rPr>
        <w:t xml:space="preserve">% </w:t>
      </w:r>
      <w:r w:rsidR="000225EF" w:rsidRPr="002F0180">
        <w:rPr>
          <w:lang w:val="uk-UA"/>
        </w:rPr>
        <w:t xml:space="preserve">від суми надходжень </w:t>
      </w:r>
      <w:r w:rsidR="00B5317E" w:rsidRPr="002F0180">
        <w:rPr>
          <w:lang w:val="en-US"/>
        </w:rPr>
        <w:t>I</w:t>
      </w:r>
      <w:r w:rsidR="00F947EA" w:rsidRPr="002F0180">
        <w:rPr>
          <w:lang w:val="uk-UA"/>
        </w:rPr>
        <w:t xml:space="preserve"> </w:t>
      </w:r>
      <w:r w:rsidR="00EF1F26" w:rsidRPr="002F0180">
        <w:rPr>
          <w:lang w:val="uk-UA"/>
        </w:rPr>
        <w:t>півріччя</w:t>
      </w:r>
      <w:r w:rsidR="00F947EA" w:rsidRPr="002F0180">
        <w:rPr>
          <w:lang w:val="uk-UA"/>
        </w:rPr>
        <w:t xml:space="preserve"> </w:t>
      </w:r>
      <w:r w:rsidR="000225EF" w:rsidRPr="002F0180">
        <w:rPr>
          <w:lang w:val="uk-UA"/>
        </w:rPr>
        <w:t>202</w:t>
      </w:r>
      <w:r w:rsidR="00F947EA" w:rsidRPr="002F0180">
        <w:rPr>
          <w:lang w:val="uk-UA"/>
        </w:rPr>
        <w:t>2</w:t>
      </w:r>
      <w:r w:rsidR="000225EF" w:rsidRPr="002F0180">
        <w:rPr>
          <w:lang w:val="uk-UA"/>
        </w:rPr>
        <w:t xml:space="preserve"> року</w:t>
      </w:r>
      <w:r w:rsidRPr="002F0180">
        <w:rPr>
          <w:lang w:val="uk-UA"/>
        </w:rPr>
        <w:t xml:space="preserve">. </w:t>
      </w:r>
    </w:p>
    <w:p w:rsidR="00982654" w:rsidRPr="002F0180" w:rsidRDefault="00982654" w:rsidP="00FB555B">
      <w:pPr>
        <w:tabs>
          <w:tab w:val="left" w:pos="993"/>
        </w:tabs>
        <w:ind w:firstLine="567"/>
        <w:jc w:val="both"/>
        <w:rPr>
          <w:lang w:val="uk-UA"/>
        </w:rPr>
      </w:pPr>
      <w:r w:rsidRPr="002F0180">
        <w:rPr>
          <w:lang w:val="uk-UA"/>
        </w:rPr>
        <w:t>Відповідно до інформації, наданої ГУ ДПС у Київській області станом на 01.0</w:t>
      </w:r>
      <w:r w:rsidR="00105041" w:rsidRPr="002F0180">
        <w:rPr>
          <w:lang w:val="uk-UA"/>
        </w:rPr>
        <w:t>7</w:t>
      </w:r>
      <w:r w:rsidRPr="002F0180">
        <w:rPr>
          <w:lang w:val="uk-UA"/>
        </w:rPr>
        <w:t>.202</w:t>
      </w:r>
      <w:r w:rsidR="002E5230" w:rsidRPr="002F0180">
        <w:rPr>
          <w:lang w:val="uk-UA"/>
        </w:rPr>
        <w:t>3</w:t>
      </w:r>
      <w:r w:rsidRPr="002F0180">
        <w:rPr>
          <w:lang w:val="uk-UA"/>
        </w:rPr>
        <w:t xml:space="preserve"> року, загальна сума податкового боргу з </w:t>
      </w:r>
      <w:r w:rsidRPr="002F0180">
        <w:rPr>
          <w:bCs/>
          <w:lang w:val="uk-UA"/>
        </w:rPr>
        <w:t xml:space="preserve">податку на нерухоме майно, </w:t>
      </w:r>
      <w:r w:rsidRPr="002F0180">
        <w:rPr>
          <w:lang w:val="uk-UA"/>
        </w:rPr>
        <w:t xml:space="preserve">відмінне від земельної ділянки становить </w:t>
      </w:r>
      <w:r w:rsidR="007F1A68" w:rsidRPr="002F0180">
        <w:rPr>
          <w:lang w:val="uk-UA"/>
        </w:rPr>
        <w:t>11 410,5</w:t>
      </w:r>
      <w:r w:rsidRPr="002F0180">
        <w:rPr>
          <w:lang w:val="uk-UA"/>
        </w:rPr>
        <w:t xml:space="preserve"> тис. грн. </w:t>
      </w:r>
    </w:p>
    <w:p w:rsidR="00440875" w:rsidRPr="002F0180" w:rsidRDefault="00440875" w:rsidP="00440875">
      <w:pPr>
        <w:tabs>
          <w:tab w:val="left" w:pos="993"/>
        </w:tabs>
        <w:ind w:firstLine="567"/>
        <w:jc w:val="both"/>
        <w:rPr>
          <w:lang w:val="uk-UA"/>
        </w:rPr>
      </w:pPr>
      <w:r w:rsidRPr="002F0180">
        <w:rPr>
          <w:lang w:val="uk-UA"/>
        </w:rPr>
        <w:t xml:space="preserve">Змінами, що були внесені до Податкового кодексу України Законом України від </w:t>
      </w:r>
      <w:r w:rsidR="005A55BE" w:rsidRPr="002F0180">
        <w:rPr>
          <w:lang w:val="uk-UA"/>
        </w:rPr>
        <w:t>11</w:t>
      </w:r>
      <w:r w:rsidRPr="002F0180">
        <w:rPr>
          <w:lang w:val="uk-UA"/>
        </w:rPr>
        <w:t xml:space="preserve"> </w:t>
      </w:r>
      <w:r w:rsidR="005A55BE" w:rsidRPr="002F0180">
        <w:rPr>
          <w:lang w:val="uk-UA"/>
        </w:rPr>
        <w:t>квіт</w:t>
      </w:r>
      <w:r w:rsidRPr="002F0180">
        <w:rPr>
          <w:lang w:val="uk-UA"/>
        </w:rPr>
        <w:t>ня 202</w:t>
      </w:r>
      <w:r w:rsidR="005A55BE" w:rsidRPr="002F0180">
        <w:rPr>
          <w:lang w:val="uk-UA"/>
        </w:rPr>
        <w:t>3</w:t>
      </w:r>
      <w:r w:rsidRPr="002F0180">
        <w:rPr>
          <w:lang w:val="uk-UA"/>
        </w:rPr>
        <w:t xml:space="preserve"> року № </w:t>
      </w:r>
      <w:r w:rsidR="005A55BE" w:rsidRPr="002F0180">
        <w:rPr>
          <w:lang w:val="uk-UA"/>
        </w:rPr>
        <w:t>3050</w:t>
      </w:r>
      <w:r w:rsidRPr="002F0180">
        <w:rPr>
          <w:lang w:val="uk-UA"/>
        </w:rPr>
        <w:t>-ІХ</w:t>
      </w:r>
      <w:r w:rsidR="0021481C" w:rsidRPr="002F0180">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2F0180">
        <w:rPr>
          <w:lang w:val="uk-UA"/>
        </w:rPr>
        <w:t>, на територіях, на яких велися бойові дії, передбачено наступне:</w:t>
      </w:r>
    </w:p>
    <w:p w:rsidR="00440875" w:rsidRPr="002F0180" w:rsidRDefault="00440875" w:rsidP="00440875">
      <w:pPr>
        <w:tabs>
          <w:tab w:val="left" w:pos="993"/>
        </w:tabs>
        <w:ind w:firstLine="567"/>
        <w:jc w:val="both"/>
        <w:rPr>
          <w:lang w:val="uk-UA"/>
        </w:rPr>
      </w:pPr>
      <w:r w:rsidRPr="002F0180">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2F0180" w:rsidRDefault="00440875" w:rsidP="00440875">
      <w:pPr>
        <w:tabs>
          <w:tab w:val="left" w:pos="993"/>
        </w:tabs>
        <w:ind w:firstLine="567"/>
        <w:jc w:val="both"/>
        <w:rPr>
          <w:lang w:val="uk-UA"/>
        </w:rPr>
      </w:pPr>
      <w:r w:rsidRPr="002F0180">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2F0180">
        <w:rPr>
          <w:lang w:val="uk-UA"/>
        </w:rPr>
        <w:t xml:space="preserve"> та за об’єкти нежитлової нерухомості, які перебувають у власності юридичних та фізичних осіб</w:t>
      </w:r>
      <w:r w:rsidR="00C65E1F" w:rsidRPr="002F0180">
        <w:rPr>
          <w:lang w:val="uk-UA"/>
        </w:rPr>
        <w:t>.</w:t>
      </w:r>
    </w:p>
    <w:p w:rsidR="002A5F66" w:rsidRPr="002F0180" w:rsidRDefault="008A6D02" w:rsidP="002A5F66">
      <w:pPr>
        <w:tabs>
          <w:tab w:val="left" w:pos="993"/>
        </w:tabs>
        <w:ind w:firstLine="567"/>
        <w:jc w:val="both"/>
        <w:rPr>
          <w:lang w:val="uk-UA"/>
        </w:rPr>
      </w:pPr>
      <w:r w:rsidRPr="002F0180">
        <w:rPr>
          <w:lang w:val="uk-UA"/>
        </w:rPr>
        <w:t>Юридичні особи - п</w:t>
      </w:r>
      <w:r w:rsidR="002A5F66" w:rsidRPr="002F0180">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2F0180">
        <w:rPr>
          <w:lang w:val="uk-UA"/>
        </w:rPr>
        <w:t>№ 3050-ІХ,</w:t>
      </w:r>
      <w:r w:rsidR="002A5F66" w:rsidRPr="002F0180">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2F0180">
        <w:rPr>
          <w:lang w:val="uk-UA"/>
        </w:rPr>
        <w:t>тимчасово окуповані російською федерацією територіях</w:t>
      </w:r>
      <w:r w:rsidR="002A5F66" w:rsidRPr="002F0180">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w:t>
      </w:r>
      <w:r w:rsidR="002A5F66" w:rsidRPr="002F0180">
        <w:rPr>
          <w:lang w:val="uk-UA"/>
        </w:rPr>
        <w:lastRenderedPageBreak/>
        <w:t xml:space="preserve">подання в порядку, визначеному </w:t>
      </w:r>
      <w:r w:rsidR="00180CFA" w:rsidRPr="002F0180">
        <w:rPr>
          <w:lang w:val="uk-UA"/>
        </w:rPr>
        <w:t>Податковим к</w:t>
      </w:r>
      <w:r w:rsidR="002A5F66" w:rsidRPr="002F0180">
        <w:rPr>
          <w:lang w:val="uk-UA"/>
        </w:rPr>
        <w:t>одексом</w:t>
      </w:r>
      <w:r w:rsidR="00180CFA" w:rsidRPr="002F0180">
        <w:rPr>
          <w:lang w:val="uk-UA"/>
        </w:rPr>
        <w:t xml:space="preserve"> України</w:t>
      </w:r>
      <w:r w:rsidR="002A5F66" w:rsidRPr="002F0180">
        <w:rPr>
          <w:lang w:val="uk-UA"/>
        </w:rPr>
        <w:t>, уточнюючих податкових декларацій за відповідний період.</w:t>
      </w:r>
    </w:p>
    <w:p w:rsidR="002A5F66" w:rsidRPr="002F0180" w:rsidRDefault="002A5F66" w:rsidP="002A5F66">
      <w:pPr>
        <w:tabs>
          <w:tab w:val="left" w:pos="993"/>
        </w:tabs>
        <w:ind w:firstLine="567"/>
        <w:jc w:val="both"/>
        <w:rPr>
          <w:lang w:val="uk-UA"/>
        </w:rPr>
      </w:pPr>
      <w:r w:rsidRPr="002F0180">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2A5F66" w:rsidRPr="002F0180" w:rsidRDefault="002A5F66" w:rsidP="002A5F66">
      <w:pPr>
        <w:tabs>
          <w:tab w:val="left" w:pos="993"/>
        </w:tabs>
        <w:ind w:firstLine="567"/>
        <w:jc w:val="both"/>
        <w:rPr>
          <w:lang w:val="uk-UA"/>
        </w:rPr>
      </w:pPr>
      <w:r w:rsidRPr="002F0180">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rsidR="00324426" w:rsidRPr="002F0180" w:rsidRDefault="002A5F66" w:rsidP="002A5F66">
      <w:pPr>
        <w:tabs>
          <w:tab w:val="left" w:pos="993"/>
        </w:tabs>
        <w:ind w:firstLine="567"/>
        <w:jc w:val="both"/>
        <w:rPr>
          <w:lang w:val="uk-UA"/>
        </w:rPr>
      </w:pPr>
      <w:r w:rsidRPr="002F0180">
        <w:rPr>
          <w:lang w:val="uk-UA"/>
        </w:rPr>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2F0180">
        <w:rPr>
          <w:lang w:val="uk-UA"/>
        </w:rPr>
        <w:t>.</w:t>
      </w:r>
    </w:p>
    <w:p w:rsidR="00F147C8" w:rsidRPr="002F0180" w:rsidRDefault="00F147C8" w:rsidP="002A5F66">
      <w:pPr>
        <w:tabs>
          <w:tab w:val="left" w:pos="993"/>
        </w:tabs>
        <w:ind w:firstLine="567"/>
        <w:jc w:val="both"/>
        <w:rPr>
          <w:lang w:val="uk-UA"/>
        </w:rPr>
      </w:pPr>
      <w:r w:rsidRPr="002F0180">
        <w:rPr>
          <w:lang w:val="uk-UA"/>
        </w:rPr>
        <w:t xml:space="preserve"> </w:t>
      </w:r>
    </w:p>
    <w:p w:rsidR="00982654" w:rsidRPr="002F0180" w:rsidRDefault="00982654" w:rsidP="00FB555B">
      <w:pPr>
        <w:tabs>
          <w:tab w:val="left" w:pos="993"/>
        </w:tabs>
        <w:ind w:firstLine="567"/>
        <w:jc w:val="both"/>
        <w:rPr>
          <w:lang w:val="uk-UA"/>
        </w:rPr>
      </w:pPr>
      <w:r w:rsidRPr="002F0180">
        <w:rPr>
          <w:i/>
          <w:lang w:val="uk-UA"/>
        </w:rPr>
        <w:t xml:space="preserve">   -</w:t>
      </w:r>
      <w:r w:rsidRPr="002F0180">
        <w:rPr>
          <w:i/>
          <w:u w:val="single"/>
          <w:lang w:val="uk-UA"/>
        </w:rPr>
        <w:t xml:space="preserve"> Плата за землю</w:t>
      </w:r>
      <w:r w:rsidRPr="002F0180">
        <w:rPr>
          <w:lang w:val="uk-UA"/>
        </w:rPr>
        <w:t xml:space="preserve"> надійшла в сумі </w:t>
      </w:r>
      <w:r w:rsidR="0014291D" w:rsidRPr="002F0180">
        <w:rPr>
          <w:lang w:val="uk-UA"/>
        </w:rPr>
        <w:t>30 317,5</w:t>
      </w:r>
      <w:r w:rsidRPr="002F0180">
        <w:rPr>
          <w:lang w:val="uk-UA"/>
        </w:rPr>
        <w:t xml:space="preserve"> тис. грн, що на </w:t>
      </w:r>
      <w:r w:rsidR="0014291D" w:rsidRPr="002F0180">
        <w:rPr>
          <w:lang w:val="uk-UA"/>
        </w:rPr>
        <w:t>14 312,1</w:t>
      </w:r>
      <w:r w:rsidRPr="002F0180">
        <w:rPr>
          <w:lang w:val="uk-UA"/>
        </w:rPr>
        <w:t xml:space="preserve"> тис. грн </w:t>
      </w:r>
      <w:r w:rsidR="002A7336" w:rsidRPr="002F0180">
        <w:rPr>
          <w:lang w:val="uk-UA"/>
        </w:rPr>
        <w:t>біль</w:t>
      </w:r>
      <w:r w:rsidRPr="002F0180">
        <w:rPr>
          <w:lang w:val="uk-UA"/>
        </w:rPr>
        <w:t xml:space="preserve">ше в порівнянні з аналогічним періодом </w:t>
      </w:r>
      <w:r w:rsidRPr="002F0180">
        <w:t>20</w:t>
      </w:r>
      <w:r w:rsidRPr="002F0180">
        <w:rPr>
          <w:lang w:val="uk-UA"/>
        </w:rPr>
        <w:t>2</w:t>
      </w:r>
      <w:r w:rsidR="002A7336" w:rsidRPr="002F0180">
        <w:rPr>
          <w:lang w:val="uk-UA"/>
        </w:rPr>
        <w:t>2</w:t>
      </w:r>
      <w:r w:rsidRPr="002F0180">
        <w:rPr>
          <w:lang w:val="uk-UA"/>
        </w:rPr>
        <w:t xml:space="preserve"> року</w:t>
      </w:r>
      <w:r w:rsidR="00935F68" w:rsidRPr="002F0180">
        <w:rPr>
          <w:lang w:val="uk-UA"/>
        </w:rPr>
        <w:t xml:space="preserve">, </w:t>
      </w:r>
      <w:r w:rsidR="00941BC6" w:rsidRPr="002F0180">
        <w:rPr>
          <w:lang w:val="uk-UA"/>
        </w:rPr>
        <w:t>та</w:t>
      </w:r>
      <w:r w:rsidR="00935F68" w:rsidRPr="002F0180">
        <w:rPr>
          <w:lang w:val="uk-UA"/>
        </w:rPr>
        <w:t xml:space="preserve"> складає </w:t>
      </w:r>
      <w:r w:rsidR="0014291D" w:rsidRPr="002F0180">
        <w:rPr>
          <w:lang w:val="uk-UA"/>
        </w:rPr>
        <w:t>189,4</w:t>
      </w:r>
      <w:r w:rsidR="00935F68" w:rsidRPr="002F0180">
        <w:rPr>
          <w:lang w:val="uk-UA"/>
        </w:rPr>
        <w:t>%.</w:t>
      </w:r>
      <w:r w:rsidRPr="002F0180">
        <w:rPr>
          <w:lang w:val="uk-UA"/>
        </w:rPr>
        <w:t xml:space="preserve"> Виконання плану за </w:t>
      </w:r>
      <w:r w:rsidR="00B5317E" w:rsidRPr="002F0180">
        <w:rPr>
          <w:lang w:val="en-US"/>
        </w:rPr>
        <w:t>I</w:t>
      </w:r>
      <w:r w:rsidR="002A7336" w:rsidRPr="002F0180">
        <w:rPr>
          <w:lang w:val="uk-UA"/>
        </w:rPr>
        <w:t xml:space="preserve"> </w:t>
      </w:r>
      <w:r w:rsidR="0014291D" w:rsidRPr="002F0180">
        <w:rPr>
          <w:lang w:val="uk-UA"/>
        </w:rPr>
        <w:t>півріччя</w:t>
      </w:r>
      <w:r w:rsidR="002A7336" w:rsidRPr="002F0180">
        <w:rPr>
          <w:lang w:val="uk-UA"/>
        </w:rPr>
        <w:t xml:space="preserve"> 2023 року</w:t>
      </w:r>
      <w:r w:rsidRPr="002F0180">
        <w:rPr>
          <w:lang w:val="uk-UA"/>
        </w:rPr>
        <w:t xml:space="preserve"> становить </w:t>
      </w:r>
      <w:r w:rsidR="0014291D" w:rsidRPr="002F0180">
        <w:rPr>
          <w:lang w:val="uk-UA"/>
        </w:rPr>
        <w:t>167,4</w:t>
      </w:r>
      <w:r w:rsidRPr="002F0180">
        <w:rPr>
          <w:lang w:val="uk-UA"/>
        </w:rPr>
        <w:t xml:space="preserve">%, що на </w:t>
      </w:r>
      <w:r w:rsidR="0014291D" w:rsidRPr="002F0180">
        <w:rPr>
          <w:lang w:val="uk-UA"/>
        </w:rPr>
        <w:t>12 209,9</w:t>
      </w:r>
      <w:r w:rsidRPr="002F0180">
        <w:rPr>
          <w:lang w:val="uk-UA"/>
        </w:rPr>
        <w:t xml:space="preserve"> тис. грн </w:t>
      </w:r>
      <w:r w:rsidR="00EE770C" w:rsidRPr="002F0180">
        <w:rPr>
          <w:lang w:val="uk-UA"/>
        </w:rPr>
        <w:t>біль</w:t>
      </w:r>
      <w:r w:rsidRPr="002F0180">
        <w:rPr>
          <w:lang w:val="uk-UA"/>
        </w:rPr>
        <w:t>ше від уточнених планових показників за звітний період.</w:t>
      </w:r>
    </w:p>
    <w:p w:rsidR="00982654" w:rsidRPr="002F0180" w:rsidRDefault="00982654" w:rsidP="00FB555B">
      <w:pPr>
        <w:tabs>
          <w:tab w:val="left" w:pos="993"/>
        </w:tabs>
        <w:ind w:firstLine="567"/>
        <w:jc w:val="both"/>
        <w:rPr>
          <w:lang w:val="uk-UA"/>
        </w:rPr>
      </w:pPr>
      <w:r w:rsidRPr="002F0180">
        <w:rPr>
          <w:lang w:val="uk-UA"/>
        </w:rPr>
        <w:t xml:space="preserve"> Загальна сума податкового боргу з орендної плати</w:t>
      </w:r>
      <w:r w:rsidR="00876DC8" w:rsidRPr="002F0180">
        <w:rPr>
          <w:lang w:val="uk-UA"/>
        </w:rPr>
        <w:t xml:space="preserve"> </w:t>
      </w:r>
      <w:r w:rsidRPr="002F0180">
        <w:rPr>
          <w:lang w:val="uk-UA"/>
        </w:rPr>
        <w:t xml:space="preserve"> та земельного податку</w:t>
      </w:r>
      <w:r w:rsidR="005D2016" w:rsidRPr="002F0180">
        <w:rPr>
          <w:lang w:val="uk-UA"/>
        </w:rPr>
        <w:t xml:space="preserve">, відображена органами ДПС в електронному кабінеті по Бучанській міській територіальній громаді </w:t>
      </w:r>
      <w:r w:rsidRPr="002F0180">
        <w:rPr>
          <w:lang w:val="uk-UA"/>
        </w:rPr>
        <w:t xml:space="preserve"> станом на 01.</w:t>
      </w:r>
      <w:r w:rsidR="00DD19FC" w:rsidRPr="002F0180">
        <w:rPr>
          <w:lang w:val="uk-UA"/>
        </w:rPr>
        <w:t>0</w:t>
      </w:r>
      <w:r w:rsidR="00D157A6" w:rsidRPr="002F0180">
        <w:rPr>
          <w:lang w:val="uk-UA"/>
        </w:rPr>
        <w:t>7</w:t>
      </w:r>
      <w:r w:rsidRPr="002F0180">
        <w:rPr>
          <w:lang w:val="uk-UA"/>
        </w:rPr>
        <w:t>.202</w:t>
      </w:r>
      <w:r w:rsidR="00DD19FC" w:rsidRPr="002F0180">
        <w:rPr>
          <w:lang w:val="uk-UA"/>
        </w:rPr>
        <w:t>3</w:t>
      </w:r>
      <w:r w:rsidRPr="002F0180">
        <w:rPr>
          <w:lang w:val="uk-UA"/>
        </w:rPr>
        <w:t xml:space="preserve"> року</w:t>
      </w:r>
      <w:r w:rsidR="005D2016" w:rsidRPr="002F0180">
        <w:rPr>
          <w:lang w:val="uk-UA"/>
        </w:rPr>
        <w:t>,</w:t>
      </w:r>
      <w:r w:rsidRPr="002F0180">
        <w:rPr>
          <w:lang w:val="uk-UA"/>
        </w:rPr>
        <w:t xml:space="preserve"> складає </w:t>
      </w:r>
      <w:r w:rsidR="00D157A6" w:rsidRPr="002F0180">
        <w:rPr>
          <w:lang w:val="uk-UA"/>
        </w:rPr>
        <w:t>35 253,6</w:t>
      </w:r>
      <w:r w:rsidRPr="002F0180">
        <w:rPr>
          <w:lang w:val="uk-UA"/>
        </w:rPr>
        <w:t xml:space="preserve"> тис. грн.</w:t>
      </w:r>
    </w:p>
    <w:p w:rsidR="00440875" w:rsidRPr="002F0180" w:rsidRDefault="00440875" w:rsidP="00440875">
      <w:pPr>
        <w:tabs>
          <w:tab w:val="left" w:pos="993"/>
        </w:tabs>
        <w:ind w:firstLine="567"/>
        <w:jc w:val="both"/>
        <w:rPr>
          <w:lang w:val="uk-UA"/>
        </w:rPr>
      </w:pPr>
      <w:r w:rsidRPr="002F0180">
        <w:rPr>
          <w:lang w:val="uk-UA"/>
        </w:rPr>
        <w:t xml:space="preserve">Змінами, що були внесені до Податкового кодексу України Законом України від </w:t>
      </w:r>
      <w:r w:rsidR="00A1192A" w:rsidRPr="002F0180">
        <w:rPr>
          <w:lang w:val="uk-UA"/>
        </w:rPr>
        <w:t>11 квітня 2023 року № 3050-ІХ</w:t>
      </w:r>
      <w:r w:rsidRPr="002F0180">
        <w:rPr>
          <w:lang w:val="uk-UA"/>
        </w:rPr>
        <w:t xml:space="preserve">, щодо </w:t>
      </w:r>
      <w:r w:rsidR="00A1192A" w:rsidRPr="002F0180">
        <w:rPr>
          <w:lang w:val="uk-UA"/>
        </w:rPr>
        <w:t>тимчасово окупован</w:t>
      </w:r>
      <w:r w:rsidR="00C46BB1" w:rsidRPr="002F0180">
        <w:rPr>
          <w:lang w:val="uk-UA"/>
        </w:rPr>
        <w:t>их</w:t>
      </w:r>
      <w:r w:rsidR="00A1192A" w:rsidRPr="002F0180">
        <w:rPr>
          <w:lang w:val="uk-UA"/>
        </w:rPr>
        <w:t xml:space="preserve"> російською федерацією території </w:t>
      </w:r>
      <w:r w:rsidRPr="002F0180">
        <w:rPr>
          <w:lang w:val="uk-UA"/>
        </w:rPr>
        <w:t>визначено наступне:</w:t>
      </w:r>
    </w:p>
    <w:p w:rsidR="00473AB0" w:rsidRPr="002F0180" w:rsidRDefault="00473AB0" w:rsidP="00440875">
      <w:pPr>
        <w:tabs>
          <w:tab w:val="left" w:pos="993"/>
        </w:tabs>
        <w:ind w:firstLine="567"/>
        <w:jc w:val="both"/>
        <w:rPr>
          <w:lang w:val="uk-UA"/>
        </w:rPr>
      </w:pPr>
      <w:r w:rsidRPr="002F0180">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rsidR="00473AB0" w:rsidRPr="002F0180" w:rsidRDefault="00473AB0" w:rsidP="00440875">
      <w:pPr>
        <w:tabs>
          <w:tab w:val="left" w:pos="993"/>
        </w:tabs>
        <w:ind w:firstLine="567"/>
        <w:jc w:val="both"/>
        <w:rPr>
          <w:lang w:val="uk-UA"/>
        </w:rPr>
      </w:pPr>
      <w:r w:rsidRPr="002F0180">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rsidR="00AD0E78" w:rsidRPr="002F0180" w:rsidRDefault="00AD0E78" w:rsidP="00440875">
      <w:pPr>
        <w:tabs>
          <w:tab w:val="left" w:pos="993"/>
        </w:tabs>
        <w:ind w:firstLine="567"/>
        <w:jc w:val="both"/>
        <w:rPr>
          <w:lang w:val="uk-UA"/>
        </w:rPr>
      </w:pPr>
      <w:r w:rsidRPr="002F0180">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2F0180">
        <w:rPr>
          <w:lang w:val="uk-UA"/>
        </w:rPr>
        <w:t>их</w:t>
      </w:r>
      <w:r w:rsidRPr="002F0180">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rsidR="00704213" w:rsidRPr="002F0180" w:rsidRDefault="00704213" w:rsidP="00440875">
      <w:pPr>
        <w:tabs>
          <w:tab w:val="left" w:pos="993"/>
        </w:tabs>
        <w:ind w:firstLine="567"/>
        <w:jc w:val="both"/>
        <w:rPr>
          <w:lang w:val="uk-UA"/>
        </w:rPr>
      </w:pPr>
      <w:r w:rsidRPr="002F0180">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440875" w:rsidRPr="002F0180" w:rsidRDefault="00704213" w:rsidP="002C4CB9">
      <w:pPr>
        <w:tabs>
          <w:tab w:val="left" w:pos="993"/>
        </w:tabs>
        <w:ind w:firstLine="567"/>
        <w:jc w:val="both"/>
        <w:rPr>
          <w:lang w:val="uk-UA"/>
        </w:rPr>
      </w:pPr>
      <w:r w:rsidRPr="002F0180">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2F0180">
        <w:rPr>
          <w:lang w:val="uk-UA"/>
        </w:rPr>
        <w:t xml:space="preserve">податкового боргу з </w:t>
      </w:r>
      <w:r w:rsidR="00C46BB1" w:rsidRPr="002F0180">
        <w:rPr>
          <w:lang w:val="uk-UA"/>
        </w:rPr>
        <w:t>цього податку</w:t>
      </w:r>
      <w:r w:rsidR="002C4CB9" w:rsidRPr="002F0180">
        <w:rPr>
          <w:lang w:val="uk-UA"/>
        </w:rPr>
        <w:t>.</w:t>
      </w:r>
      <w:r w:rsidR="00440875" w:rsidRPr="002F0180">
        <w:rPr>
          <w:lang w:val="uk-UA"/>
        </w:rPr>
        <w:t xml:space="preserve"> </w:t>
      </w:r>
    </w:p>
    <w:p w:rsidR="00F21D68" w:rsidRPr="002F0180" w:rsidRDefault="00F21D68" w:rsidP="002C4CB9">
      <w:pPr>
        <w:tabs>
          <w:tab w:val="left" w:pos="993"/>
        </w:tabs>
        <w:ind w:firstLine="567"/>
        <w:jc w:val="both"/>
        <w:rPr>
          <w:lang w:val="uk-UA"/>
        </w:rPr>
      </w:pPr>
    </w:p>
    <w:p w:rsidR="00F147C8" w:rsidRPr="002F0180" w:rsidRDefault="00180CFA" w:rsidP="00440875">
      <w:pPr>
        <w:tabs>
          <w:tab w:val="left" w:pos="993"/>
        </w:tabs>
        <w:ind w:firstLine="567"/>
        <w:jc w:val="both"/>
        <w:rPr>
          <w:lang w:val="uk-UA"/>
        </w:rPr>
      </w:pPr>
      <w:r w:rsidRPr="002F0180">
        <w:rPr>
          <w:lang w:val="uk-UA"/>
        </w:rPr>
        <w:t>Перелік територій, на яких ведуться/велися бойові дії та до яких мають бути застосовані вищенаведені зміни до законодавства, визначається у встановленому Кабінетом Міністрів України порядку. Відповідно до вищезазначеного переліку населені пункти Бучанської міської територіальної громади віднесено до  тимчасово окупован</w:t>
      </w:r>
      <w:r w:rsidR="002F0180" w:rsidRPr="002F0180">
        <w:rPr>
          <w:lang w:val="uk-UA"/>
        </w:rPr>
        <w:t>их</w:t>
      </w:r>
      <w:r w:rsidRPr="002F0180">
        <w:rPr>
          <w:lang w:val="uk-UA"/>
        </w:rPr>
        <w:t xml:space="preserve"> російською федерацією території України, що зумовлює застосування вищенаведених пільг з оподаткування податком </w:t>
      </w:r>
      <w:r w:rsidR="003B1857" w:rsidRPr="002F0180">
        <w:rPr>
          <w:lang w:val="uk-UA"/>
        </w:rPr>
        <w:t>на нерухоме майно, відмінного від земельної ділянки та платою за землю</w:t>
      </w:r>
      <w:r w:rsidRPr="002F0180">
        <w:rPr>
          <w:lang w:val="uk-UA"/>
        </w:rPr>
        <w:t>.</w:t>
      </w:r>
    </w:p>
    <w:p w:rsidR="002A5F66" w:rsidRPr="002F0180" w:rsidRDefault="002A5F66" w:rsidP="00440875">
      <w:pPr>
        <w:tabs>
          <w:tab w:val="left" w:pos="993"/>
        </w:tabs>
        <w:ind w:firstLine="567"/>
        <w:jc w:val="both"/>
        <w:rPr>
          <w:lang w:val="uk-UA"/>
        </w:rPr>
      </w:pPr>
    </w:p>
    <w:p w:rsidR="00982654" w:rsidRPr="002F0180" w:rsidRDefault="00982654" w:rsidP="00FB555B">
      <w:pPr>
        <w:tabs>
          <w:tab w:val="left" w:pos="1530"/>
        </w:tabs>
        <w:ind w:firstLine="567"/>
        <w:jc w:val="both"/>
        <w:rPr>
          <w:bCs/>
          <w:lang w:val="uk-UA"/>
        </w:rPr>
      </w:pPr>
      <w:r w:rsidRPr="002F0180">
        <w:rPr>
          <w:i/>
          <w:u w:val="single"/>
        </w:rPr>
        <w:lastRenderedPageBreak/>
        <w:t xml:space="preserve">- </w:t>
      </w:r>
      <w:r w:rsidRPr="002F0180">
        <w:rPr>
          <w:i/>
          <w:u w:val="single"/>
          <w:lang w:val="uk-UA"/>
        </w:rPr>
        <w:t>Транспортного податку</w:t>
      </w:r>
      <w:r w:rsidRPr="002F0180">
        <w:rPr>
          <w:lang w:val="uk-UA"/>
        </w:rPr>
        <w:t xml:space="preserve"> протягом</w:t>
      </w:r>
      <w:r w:rsidR="00013B58" w:rsidRPr="002F0180">
        <w:rPr>
          <w:lang w:val="uk-UA"/>
        </w:rPr>
        <w:t xml:space="preserve"> </w:t>
      </w:r>
      <w:r w:rsidR="00B5317E" w:rsidRPr="002F0180">
        <w:rPr>
          <w:lang w:val="en-US"/>
        </w:rPr>
        <w:t>I</w:t>
      </w:r>
      <w:r w:rsidR="00013B58" w:rsidRPr="002F0180">
        <w:rPr>
          <w:lang w:val="uk-UA"/>
        </w:rPr>
        <w:t xml:space="preserve"> </w:t>
      </w:r>
      <w:r w:rsidR="00F9045F" w:rsidRPr="002F0180">
        <w:rPr>
          <w:lang w:val="uk-UA"/>
        </w:rPr>
        <w:t>півріччя</w:t>
      </w:r>
      <w:r w:rsidRPr="002F0180">
        <w:rPr>
          <w:lang w:val="uk-UA"/>
        </w:rPr>
        <w:t xml:space="preserve"> 202</w:t>
      </w:r>
      <w:r w:rsidR="00013B58" w:rsidRPr="002F0180">
        <w:rPr>
          <w:lang w:val="uk-UA"/>
        </w:rPr>
        <w:t>3</w:t>
      </w:r>
      <w:r w:rsidRPr="002F0180">
        <w:rPr>
          <w:lang w:val="uk-UA"/>
        </w:rPr>
        <w:t xml:space="preserve"> року надійшло </w:t>
      </w:r>
      <w:r w:rsidR="00F9045F" w:rsidRPr="002F0180">
        <w:rPr>
          <w:lang w:val="uk-UA"/>
        </w:rPr>
        <w:t>134,3</w:t>
      </w:r>
      <w:r w:rsidRPr="002F0180">
        <w:rPr>
          <w:lang w:val="uk-UA"/>
        </w:rPr>
        <w:t xml:space="preserve"> тис. грн, що становить </w:t>
      </w:r>
      <w:r w:rsidR="00F9045F" w:rsidRPr="002F0180">
        <w:rPr>
          <w:lang w:val="uk-UA"/>
        </w:rPr>
        <w:t>188,6</w:t>
      </w:r>
      <w:r w:rsidRPr="002F0180">
        <w:rPr>
          <w:lang w:val="uk-UA"/>
        </w:rPr>
        <w:t xml:space="preserve">% від плану на </w:t>
      </w:r>
      <w:r w:rsidR="00013B58" w:rsidRPr="002F0180">
        <w:rPr>
          <w:lang w:val="uk-UA"/>
        </w:rPr>
        <w:t>звітний період</w:t>
      </w:r>
      <w:r w:rsidRPr="002F0180">
        <w:rPr>
          <w:lang w:val="uk-UA"/>
        </w:rPr>
        <w:t>. Порівнюючи доходи з відповідним періодом 202</w:t>
      </w:r>
      <w:r w:rsidR="00013B58" w:rsidRPr="002F0180">
        <w:rPr>
          <w:lang w:val="uk-UA"/>
        </w:rPr>
        <w:t>2</w:t>
      </w:r>
      <w:r w:rsidRPr="002F0180">
        <w:rPr>
          <w:lang w:val="uk-UA"/>
        </w:rPr>
        <w:t xml:space="preserve"> року, спостерігається </w:t>
      </w:r>
      <w:r w:rsidR="002524F3" w:rsidRPr="002F0180">
        <w:rPr>
          <w:lang w:val="uk-UA"/>
        </w:rPr>
        <w:t>з</w:t>
      </w:r>
      <w:r w:rsidR="00F9045F" w:rsidRPr="002F0180">
        <w:rPr>
          <w:lang w:val="uk-UA"/>
        </w:rPr>
        <w:t>біль</w:t>
      </w:r>
      <w:r w:rsidRPr="002F0180">
        <w:rPr>
          <w:lang w:val="uk-UA"/>
        </w:rPr>
        <w:t xml:space="preserve">шення надходження податку на </w:t>
      </w:r>
      <w:r w:rsidR="00F9045F" w:rsidRPr="002F0180">
        <w:rPr>
          <w:lang w:val="uk-UA"/>
        </w:rPr>
        <w:t>75,9</w:t>
      </w:r>
      <w:r w:rsidRPr="002F0180">
        <w:rPr>
          <w:lang w:val="uk-UA"/>
        </w:rPr>
        <w:t xml:space="preserve"> тис. грн</w:t>
      </w:r>
      <w:r w:rsidR="002524F3" w:rsidRPr="002F0180">
        <w:rPr>
          <w:lang w:val="uk-UA"/>
        </w:rPr>
        <w:t xml:space="preserve">, що складає </w:t>
      </w:r>
      <w:r w:rsidR="00F9045F" w:rsidRPr="002F0180">
        <w:rPr>
          <w:lang w:val="uk-UA"/>
        </w:rPr>
        <w:t>229,9</w:t>
      </w:r>
      <w:r w:rsidR="002524F3" w:rsidRPr="002F0180">
        <w:rPr>
          <w:lang w:val="uk-UA"/>
        </w:rPr>
        <w:t>% від суми надходжень минулого року</w:t>
      </w:r>
      <w:r w:rsidRPr="002F0180">
        <w:rPr>
          <w:bCs/>
          <w:lang w:val="uk-UA"/>
        </w:rPr>
        <w:t xml:space="preserve">. </w:t>
      </w:r>
    </w:p>
    <w:p w:rsidR="00F40A0D" w:rsidRPr="00B42AE7" w:rsidRDefault="00F40A0D" w:rsidP="00FB555B">
      <w:pPr>
        <w:tabs>
          <w:tab w:val="left" w:pos="1530"/>
        </w:tabs>
        <w:ind w:firstLine="567"/>
        <w:jc w:val="both"/>
        <w:rPr>
          <w:lang w:val="uk-UA"/>
        </w:rPr>
      </w:pPr>
    </w:p>
    <w:p w:rsidR="00FB555B" w:rsidRPr="00BF34A0" w:rsidRDefault="00FB555B" w:rsidP="00FB555B">
      <w:pPr>
        <w:tabs>
          <w:tab w:val="left" w:pos="1530"/>
        </w:tabs>
        <w:ind w:firstLine="900"/>
        <w:jc w:val="both"/>
        <w:rPr>
          <w:lang w:val="uk-UA"/>
        </w:rPr>
      </w:pPr>
    </w:p>
    <w:p w:rsidR="00982654" w:rsidRPr="001D7D05" w:rsidRDefault="00982654" w:rsidP="00982654">
      <w:pPr>
        <w:jc w:val="center"/>
        <w:rPr>
          <w:b/>
          <w:u w:val="single"/>
          <w:lang w:val="uk-UA"/>
        </w:rPr>
      </w:pPr>
      <w:r w:rsidRPr="001D7D05">
        <w:rPr>
          <w:b/>
          <w:u w:val="single"/>
          <w:lang w:val="uk-UA"/>
        </w:rPr>
        <w:t>Єдиний податок</w:t>
      </w:r>
    </w:p>
    <w:p w:rsidR="00982654" w:rsidRPr="001D7D05" w:rsidRDefault="00982654" w:rsidP="00FB555B">
      <w:pPr>
        <w:ind w:firstLine="567"/>
        <w:jc w:val="center"/>
        <w:rPr>
          <w:b/>
          <w:u w:val="single"/>
          <w:lang w:val="uk-UA"/>
        </w:rPr>
      </w:pPr>
    </w:p>
    <w:p w:rsidR="00982654" w:rsidRPr="001D7D05" w:rsidRDefault="00982654" w:rsidP="00FB555B">
      <w:pPr>
        <w:tabs>
          <w:tab w:val="left" w:pos="1530"/>
        </w:tabs>
        <w:ind w:firstLine="567"/>
        <w:jc w:val="both"/>
        <w:rPr>
          <w:lang w:val="uk-UA"/>
        </w:rPr>
      </w:pPr>
      <w:r w:rsidRPr="001D7D05">
        <w:rPr>
          <w:lang w:val="uk-UA"/>
        </w:rPr>
        <w:t xml:space="preserve">За </w:t>
      </w:r>
      <w:r w:rsidR="00B5317E" w:rsidRPr="001D7D05">
        <w:rPr>
          <w:lang w:val="en-US"/>
        </w:rPr>
        <w:t>I</w:t>
      </w:r>
      <w:r w:rsidR="00B657A6" w:rsidRPr="001D7D05">
        <w:rPr>
          <w:lang w:val="uk-UA"/>
        </w:rPr>
        <w:t xml:space="preserve"> </w:t>
      </w:r>
      <w:r w:rsidR="00E749E4" w:rsidRPr="001D7D05">
        <w:rPr>
          <w:lang w:val="uk-UA"/>
        </w:rPr>
        <w:t>півріччя</w:t>
      </w:r>
      <w:r w:rsidR="00B657A6" w:rsidRPr="001D7D05">
        <w:rPr>
          <w:lang w:val="uk-UA"/>
        </w:rPr>
        <w:t xml:space="preserve"> 2023 року</w:t>
      </w:r>
      <w:r w:rsidRPr="001D7D05">
        <w:rPr>
          <w:lang w:val="uk-UA"/>
        </w:rPr>
        <w:t xml:space="preserve">, загалом, до бюджету громади надійшло </w:t>
      </w:r>
      <w:r w:rsidR="00E749E4" w:rsidRPr="001D7D05">
        <w:rPr>
          <w:lang w:val="uk-UA"/>
        </w:rPr>
        <w:t>52 128,2</w:t>
      </w:r>
      <w:r w:rsidRPr="001D7D05">
        <w:rPr>
          <w:lang w:val="uk-UA"/>
        </w:rPr>
        <w:t xml:space="preserve"> тис. грн єдиного податку</w:t>
      </w:r>
      <w:r w:rsidR="00441F43" w:rsidRPr="001D7D05">
        <w:rPr>
          <w:lang w:val="uk-UA"/>
        </w:rPr>
        <w:t>,</w:t>
      </w:r>
      <w:r w:rsidRPr="001D7D05">
        <w:rPr>
          <w:lang w:val="uk-UA"/>
        </w:rPr>
        <w:t xml:space="preserve"> сплаченого юридичними та фізичними особами, що на </w:t>
      </w:r>
      <w:r w:rsidR="00E749E4" w:rsidRPr="001D7D05">
        <w:rPr>
          <w:lang w:val="uk-UA"/>
        </w:rPr>
        <w:t>6 185,2</w:t>
      </w:r>
      <w:r w:rsidRPr="001D7D05">
        <w:rPr>
          <w:lang w:val="uk-UA"/>
        </w:rPr>
        <w:t xml:space="preserve"> тис. грн </w:t>
      </w:r>
      <w:r w:rsidR="00B657A6" w:rsidRPr="001D7D05">
        <w:rPr>
          <w:lang w:val="uk-UA"/>
        </w:rPr>
        <w:t>біль</w:t>
      </w:r>
      <w:r w:rsidRPr="001D7D05">
        <w:rPr>
          <w:lang w:val="uk-UA"/>
        </w:rPr>
        <w:t xml:space="preserve">ше в порівнянні з плановими призначеннями і складає </w:t>
      </w:r>
      <w:r w:rsidR="00E749E4" w:rsidRPr="001D7D05">
        <w:rPr>
          <w:lang w:val="uk-UA"/>
        </w:rPr>
        <w:t>113,5</w:t>
      </w:r>
      <w:r w:rsidRPr="001D7D05">
        <w:rPr>
          <w:lang w:val="uk-UA"/>
        </w:rPr>
        <w:t>% виконання плану</w:t>
      </w:r>
      <w:r w:rsidR="00B657A6" w:rsidRPr="001D7D05">
        <w:rPr>
          <w:lang w:val="uk-UA"/>
        </w:rPr>
        <w:t xml:space="preserve"> на відповідний період</w:t>
      </w:r>
      <w:r w:rsidRPr="001D7D05">
        <w:rPr>
          <w:lang w:val="uk-UA"/>
        </w:rPr>
        <w:t xml:space="preserve">. Порівняно з </w:t>
      </w:r>
      <w:r w:rsidR="00B5317E" w:rsidRPr="001D7D05">
        <w:rPr>
          <w:lang w:val="en-US"/>
        </w:rPr>
        <w:t>I</w:t>
      </w:r>
      <w:r w:rsidR="00B657A6" w:rsidRPr="001D7D05">
        <w:rPr>
          <w:lang w:val="uk-UA"/>
        </w:rPr>
        <w:t xml:space="preserve"> </w:t>
      </w:r>
      <w:r w:rsidR="00E749E4" w:rsidRPr="001D7D05">
        <w:rPr>
          <w:lang w:val="uk-UA"/>
        </w:rPr>
        <w:t>півріччям</w:t>
      </w:r>
      <w:r w:rsidR="00B657A6" w:rsidRPr="001D7D05">
        <w:rPr>
          <w:lang w:val="uk-UA"/>
        </w:rPr>
        <w:t xml:space="preserve"> 2022 року </w:t>
      </w:r>
      <w:r w:rsidRPr="001D7D05">
        <w:rPr>
          <w:lang w:val="uk-UA"/>
        </w:rPr>
        <w:t>спостерігається з</w:t>
      </w:r>
      <w:r w:rsidR="00A028E7" w:rsidRPr="001D7D05">
        <w:rPr>
          <w:lang w:val="uk-UA"/>
        </w:rPr>
        <w:t>менше</w:t>
      </w:r>
      <w:r w:rsidRPr="001D7D05">
        <w:rPr>
          <w:lang w:val="uk-UA"/>
        </w:rPr>
        <w:t xml:space="preserve">ння доходів на </w:t>
      </w:r>
      <w:r w:rsidR="00E749E4" w:rsidRPr="001D7D05">
        <w:rPr>
          <w:lang w:val="uk-UA"/>
        </w:rPr>
        <w:t>1 624,1</w:t>
      </w:r>
      <w:r w:rsidR="00A028E7" w:rsidRPr="001D7D05">
        <w:rPr>
          <w:lang w:val="uk-UA"/>
        </w:rPr>
        <w:t xml:space="preserve"> тис. грн, що становить </w:t>
      </w:r>
      <w:r w:rsidR="00E749E4" w:rsidRPr="001D7D05">
        <w:rPr>
          <w:lang w:val="uk-UA"/>
        </w:rPr>
        <w:t>97,0</w:t>
      </w:r>
      <w:r w:rsidR="00A028E7" w:rsidRPr="001D7D05">
        <w:rPr>
          <w:lang w:val="uk-UA"/>
        </w:rPr>
        <w:t>%.</w:t>
      </w:r>
    </w:p>
    <w:p w:rsidR="005D3C5B" w:rsidRPr="001D7D05" w:rsidRDefault="005D3C5B" w:rsidP="005D3C5B">
      <w:pPr>
        <w:tabs>
          <w:tab w:val="left" w:pos="1530"/>
        </w:tabs>
        <w:ind w:firstLine="567"/>
        <w:jc w:val="both"/>
        <w:rPr>
          <w:lang w:val="uk-UA"/>
        </w:rPr>
      </w:pPr>
      <w:r w:rsidRPr="001D7D05">
        <w:rPr>
          <w:lang w:val="uk-UA"/>
        </w:rPr>
        <w:t>Відповідно до інформації, наданої ГУ ДПС у Київській області станом на 01.07.2023 року, загальна сума податкового боргу з єдиного податку з юридичних та фізичних осіб становить 8 655,4 тис. грн.</w:t>
      </w:r>
    </w:p>
    <w:p w:rsidR="00A42892" w:rsidRPr="001D7D05" w:rsidRDefault="00A42892" w:rsidP="00FB555B">
      <w:pPr>
        <w:tabs>
          <w:tab w:val="left" w:pos="1530"/>
        </w:tabs>
        <w:ind w:firstLine="567"/>
        <w:jc w:val="both"/>
        <w:rPr>
          <w:bCs/>
          <w:lang w:val="uk-UA"/>
        </w:rPr>
      </w:pPr>
      <w:r w:rsidRPr="001D7D05">
        <w:rPr>
          <w:lang w:val="uk-UA"/>
        </w:rPr>
        <w:t xml:space="preserve">Слід зазначити, що після </w:t>
      </w:r>
      <w:r w:rsidR="005E5C60" w:rsidRPr="001D7D05">
        <w:rPr>
          <w:lang w:val="uk-UA"/>
        </w:rPr>
        <w:t>повномаштабного вторгнення військ російської федерації та ведення бойових дій на території Бучанської міської територіальної громади частина суб’єктів господарювання, що були платниками єдиного податку, припинила або призупинила свою діяльність. Кількість платників єдиного податку, що фактично здійсни</w:t>
      </w:r>
      <w:r w:rsidR="005D3C5B" w:rsidRPr="001D7D05">
        <w:rPr>
          <w:lang w:val="uk-UA"/>
        </w:rPr>
        <w:t>ли</w:t>
      </w:r>
      <w:r w:rsidR="005E5C60" w:rsidRPr="001D7D05">
        <w:rPr>
          <w:lang w:val="uk-UA"/>
        </w:rPr>
        <w:t xml:space="preserve"> сплату </w:t>
      </w:r>
      <w:r w:rsidR="005D3C5B" w:rsidRPr="001D7D05">
        <w:rPr>
          <w:lang w:val="uk-UA"/>
        </w:rPr>
        <w:t xml:space="preserve">податку </w:t>
      </w:r>
      <w:r w:rsidR="005E5C60" w:rsidRPr="001D7D05">
        <w:rPr>
          <w:lang w:val="uk-UA"/>
        </w:rPr>
        <w:t xml:space="preserve">у </w:t>
      </w:r>
      <w:r w:rsidR="00B5317E" w:rsidRPr="001D7D05">
        <w:rPr>
          <w:lang w:val="en-US"/>
        </w:rPr>
        <w:t>I</w:t>
      </w:r>
      <w:r w:rsidR="005E5C60" w:rsidRPr="001D7D05">
        <w:rPr>
          <w:lang w:val="uk-UA"/>
        </w:rPr>
        <w:t xml:space="preserve"> </w:t>
      </w:r>
      <w:r w:rsidR="000E1EDC" w:rsidRPr="001D7D05">
        <w:rPr>
          <w:lang w:val="uk-UA"/>
        </w:rPr>
        <w:t>півріччі</w:t>
      </w:r>
      <w:r w:rsidR="005E5C60" w:rsidRPr="001D7D05">
        <w:rPr>
          <w:lang w:val="uk-UA"/>
        </w:rPr>
        <w:t xml:space="preserve"> 2023 року становить 2</w:t>
      </w:r>
      <w:r w:rsidR="00B23A35" w:rsidRPr="001D7D05">
        <w:rPr>
          <w:lang w:val="uk-UA"/>
        </w:rPr>
        <w:t> </w:t>
      </w:r>
      <w:r w:rsidR="000E1EDC" w:rsidRPr="001D7D05">
        <w:rPr>
          <w:lang w:val="uk-UA"/>
        </w:rPr>
        <w:t>886</w:t>
      </w:r>
      <w:r w:rsidR="00B23A35" w:rsidRPr="001D7D05">
        <w:rPr>
          <w:lang w:val="uk-UA"/>
        </w:rPr>
        <w:t xml:space="preserve"> платників</w:t>
      </w:r>
      <w:r w:rsidR="005E5C60" w:rsidRPr="001D7D05">
        <w:rPr>
          <w:lang w:val="uk-UA"/>
        </w:rPr>
        <w:t xml:space="preserve">, натомість у </w:t>
      </w:r>
      <w:r w:rsidR="00B5317E" w:rsidRPr="001D7D05">
        <w:rPr>
          <w:lang w:val="en-US"/>
        </w:rPr>
        <w:t>I</w:t>
      </w:r>
      <w:r w:rsidR="005E5C60" w:rsidRPr="001D7D05">
        <w:rPr>
          <w:lang w:val="uk-UA"/>
        </w:rPr>
        <w:t xml:space="preserve"> </w:t>
      </w:r>
      <w:r w:rsidR="000E1EDC" w:rsidRPr="001D7D05">
        <w:rPr>
          <w:lang w:val="uk-UA"/>
        </w:rPr>
        <w:t>піврічч</w:t>
      </w:r>
      <w:r w:rsidR="005E5C60" w:rsidRPr="001D7D05">
        <w:rPr>
          <w:lang w:val="uk-UA"/>
        </w:rPr>
        <w:t>і 2022 року нараховувалось 3 </w:t>
      </w:r>
      <w:r w:rsidR="00C453F9" w:rsidRPr="001D7D05">
        <w:rPr>
          <w:lang w:val="uk-UA"/>
        </w:rPr>
        <w:t>450</w:t>
      </w:r>
      <w:r w:rsidR="005E5C60" w:rsidRPr="001D7D05">
        <w:rPr>
          <w:lang w:val="uk-UA"/>
        </w:rPr>
        <w:t xml:space="preserve"> фактичних платників.  </w:t>
      </w:r>
    </w:p>
    <w:p w:rsidR="00982654" w:rsidRPr="001D7D05" w:rsidRDefault="00B23A35" w:rsidP="005B1FE3">
      <w:pPr>
        <w:tabs>
          <w:tab w:val="left" w:pos="1530"/>
        </w:tabs>
        <w:ind w:firstLine="567"/>
        <w:jc w:val="both"/>
        <w:rPr>
          <w:lang w:val="uk-UA"/>
        </w:rPr>
      </w:pPr>
      <w:r w:rsidRPr="001D7D05">
        <w:rPr>
          <w:lang w:val="uk-UA"/>
        </w:rPr>
        <w:t xml:space="preserve">Крім цього, </w:t>
      </w:r>
      <w:r w:rsidR="005B1FE3" w:rsidRPr="001D7D05">
        <w:rPr>
          <w:lang w:val="uk-UA"/>
        </w:rPr>
        <w:t>Законом України № 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r w:rsidR="00B53FB2" w:rsidRPr="001D7D05">
        <w:rPr>
          <w:lang w:val="uk-UA"/>
        </w:rPr>
        <w:t xml:space="preserve"> </w:t>
      </w:r>
    </w:p>
    <w:p w:rsidR="00E02D69" w:rsidRPr="00750CF4" w:rsidRDefault="00E02D69" w:rsidP="00FB555B">
      <w:pPr>
        <w:tabs>
          <w:tab w:val="left" w:pos="1530"/>
        </w:tabs>
        <w:ind w:firstLine="567"/>
        <w:jc w:val="both"/>
        <w:rPr>
          <w:color w:val="7030A0"/>
          <w:lang w:val="uk-UA"/>
        </w:rPr>
      </w:pPr>
    </w:p>
    <w:p w:rsidR="00E02D69" w:rsidRPr="00F91016" w:rsidRDefault="00E02D69" w:rsidP="00E02D69">
      <w:pPr>
        <w:tabs>
          <w:tab w:val="left" w:pos="0"/>
        </w:tabs>
        <w:jc w:val="center"/>
        <w:rPr>
          <w:b/>
          <w:u w:val="single"/>
          <w:lang w:val="uk-UA"/>
        </w:rPr>
      </w:pPr>
      <w:r w:rsidRPr="00F91016">
        <w:rPr>
          <w:b/>
          <w:u w:val="single"/>
          <w:lang w:val="uk-UA"/>
        </w:rPr>
        <w:t xml:space="preserve">Неподаткові надходження </w:t>
      </w:r>
    </w:p>
    <w:p w:rsidR="00E02D69" w:rsidRPr="00F91016" w:rsidRDefault="00E02D69" w:rsidP="00E02D69">
      <w:pPr>
        <w:tabs>
          <w:tab w:val="left" w:pos="0"/>
        </w:tabs>
        <w:rPr>
          <w:lang w:val="uk-UA"/>
        </w:rPr>
      </w:pPr>
    </w:p>
    <w:p w:rsidR="00E02D69" w:rsidRPr="00F91016" w:rsidRDefault="00E02D69" w:rsidP="00ED252A">
      <w:pPr>
        <w:tabs>
          <w:tab w:val="left" w:pos="0"/>
        </w:tabs>
        <w:ind w:firstLine="567"/>
        <w:jc w:val="both"/>
        <w:rPr>
          <w:lang w:val="uk-UA"/>
        </w:rPr>
      </w:pPr>
      <w:r w:rsidRPr="00F91016">
        <w:rPr>
          <w:lang w:val="uk-UA"/>
        </w:rPr>
        <w:t xml:space="preserve">За </w:t>
      </w:r>
      <w:r w:rsidR="0094339F" w:rsidRPr="00F91016">
        <w:rPr>
          <w:lang w:val="en-US"/>
        </w:rPr>
        <w:t>I</w:t>
      </w:r>
      <w:r w:rsidR="002E528E" w:rsidRPr="00F91016">
        <w:rPr>
          <w:lang w:val="uk-UA"/>
        </w:rPr>
        <w:t xml:space="preserve"> </w:t>
      </w:r>
      <w:r w:rsidR="009E715D" w:rsidRPr="00F91016">
        <w:rPr>
          <w:lang w:val="uk-UA"/>
        </w:rPr>
        <w:t>півріччя</w:t>
      </w:r>
      <w:r w:rsidR="002E528E" w:rsidRPr="00F91016">
        <w:rPr>
          <w:lang w:val="uk-UA"/>
        </w:rPr>
        <w:t xml:space="preserve"> </w:t>
      </w:r>
      <w:r w:rsidRPr="00F91016">
        <w:rPr>
          <w:lang w:val="uk-UA"/>
        </w:rPr>
        <w:t>202</w:t>
      </w:r>
      <w:r w:rsidR="002E528E" w:rsidRPr="00F91016">
        <w:rPr>
          <w:lang w:val="uk-UA"/>
        </w:rPr>
        <w:t>3</w:t>
      </w:r>
      <w:r w:rsidRPr="00F91016">
        <w:rPr>
          <w:lang w:val="uk-UA"/>
        </w:rPr>
        <w:t xml:space="preserve"> р</w:t>
      </w:r>
      <w:r w:rsidR="002E528E" w:rsidRPr="00F91016">
        <w:rPr>
          <w:lang w:val="uk-UA"/>
        </w:rPr>
        <w:t>оку</w:t>
      </w:r>
      <w:r w:rsidRPr="00F91016">
        <w:rPr>
          <w:lang w:val="uk-UA"/>
        </w:rPr>
        <w:t xml:space="preserve"> до загального фонду місцевого бюджету Бучанської міської територіальної громади надійшло </w:t>
      </w:r>
      <w:r w:rsidR="004C43E9" w:rsidRPr="00F91016">
        <w:rPr>
          <w:lang w:val="uk-UA"/>
        </w:rPr>
        <w:t>4 479,1</w:t>
      </w:r>
      <w:r w:rsidRPr="00F91016">
        <w:rPr>
          <w:lang w:val="uk-UA"/>
        </w:rPr>
        <w:t xml:space="preserve"> тис. грн неподаткових надходжень, в тому числі: </w:t>
      </w:r>
      <w:r w:rsidR="004C43E9" w:rsidRPr="00F91016">
        <w:rPr>
          <w:lang w:val="uk-UA"/>
        </w:rPr>
        <w:t>626,0</w:t>
      </w:r>
      <w:r w:rsidRPr="00F91016">
        <w:rPr>
          <w:lang w:val="uk-UA"/>
        </w:rPr>
        <w:t xml:space="preserve"> тис. грн доходів від власності та підприємницької діяльності та </w:t>
      </w:r>
      <w:r w:rsidR="004C43E9" w:rsidRPr="00F91016">
        <w:rPr>
          <w:lang w:val="uk-UA"/>
        </w:rPr>
        <w:t>3 851,2</w:t>
      </w:r>
      <w:r w:rsidRPr="00F91016">
        <w:rPr>
          <w:lang w:val="uk-UA"/>
        </w:rPr>
        <w:t xml:space="preserve"> тис. грн адміністративних зборів та платежів. </w:t>
      </w:r>
    </w:p>
    <w:p w:rsidR="00E02D69" w:rsidRPr="00F91016" w:rsidRDefault="00E02D69" w:rsidP="00ED252A">
      <w:pPr>
        <w:tabs>
          <w:tab w:val="left" w:pos="993"/>
        </w:tabs>
        <w:ind w:firstLine="567"/>
        <w:jc w:val="both"/>
        <w:rPr>
          <w:lang w:val="uk-UA"/>
        </w:rPr>
      </w:pPr>
      <w:r w:rsidRPr="00F91016">
        <w:t>В</w:t>
      </w:r>
      <w:r w:rsidRPr="00F91016">
        <w:rPr>
          <w:lang w:val="uk-UA"/>
        </w:rPr>
        <w:t xml:space="preserve">ідсоток надходження адміністративних зборів та платежів за </w:t>
      </w:r>
      <w:r w:rsidR="003C5A51" w:rsidRPr="00F91016">
        <w:rPr>
          <w:lang w:val="uk-UA"/>
        </w:rPr>
        <w:t xml:space="preserve">I </w:t>
      </w:r>
      <w:r w:rsidR="001C4669" w:rsidRPr="00F91016">
        <w:rPr>
          <w:lang w:val="uk-UA"/>
        </w:rPr>
        <w:t>півріччя</w:t>
      </w:r>
      <w:r w:rsidR="003C5A51" w:rsidRPr="00F91016">
        <w:rPr>
          <w:lang w:val="uk-UA"/>
        </w:rPr>
        <w:t xml:space="preserve"> 2023 року </w:t>
      </w:r>
      <w:r w:rsidRPr="00F91016">
        <w:rPr>
          <w:lang w:val="uk-UA"/>
        </w:rPr>
        <w:t xml:space="preserve">становить </w:t>
      </w:r>
      <w:r w:rsidR="001C4669" w:rsidRPr="00F91016">
        <w:rPr>
          <w:lang w:val="uk-UA"/>
        </w:rPr>
        <w:t>110,0</w:t>
      </w:r>
      <w:r w:rsidRPr="00F91016">
        <w:rPr>
          <w:lang w:val="uk-UA"/>
        </w:rPr>
        <w:t>% від плану на відповідний період. Порівнюючи доходи з аналогічним періодом 202</w:t>
      </w:r>
      <w:r w:rsidR="003C5A51" w:rsidRPr="00F91016">
        <w:rPr>
          <w:lang w:val="uk-UA"/>
        </w:rPr>
        <w:t>2</w:t>
      </w:r>
      <w:r w:rsidRPr="00F91016">
        <w:rPr>
          <w:lang w:val="uk-UA"/>
        </w:rPr>
        <w:t xml:space="preserve"> року, спостерігається з</w:t>
      </w:r>
      <w:r w:rsidR="003C5A51" w:rsidRPr="00F91016">
        <w:rPr>
          <w:lang w:val="uk-UA"/>
        </w:rPr>
        <w:t>біль</w:t>
      </w:r>
      <w:r w:rsidRPr="00F91016">
        <w:rPr>
          <w:lang w:val="uk-UA"/>
        </w:rPr>
        <w:t xml:space="preserve">шення надходження на </w:t>
      </w:r>
      <w:r w:rsidR="001C4669" w:rsidRPr="00F91016">
        <w:rPr>
          <w:lang w:val="uk-UA"/>
        </w:rPr>
        <w:t>1 919,0</w:t>
      </w:r>
      <w:r w:rsidRPr="00F91016">
        <w:rPr>
          <w:lang w:val="uk-UA"/>
        </w:rPr>
        <w:t xml:space="preserve"> тис. грн, що становить </w:t>
      </w:r>
      <w:r w:rsidR="003C5A51" w:rsidRPr="00F91016">
        <w:rPr>
          <w:lang w:val="uk-UA"/>
        </w:rPr>
        <w:t>1</w:t>
      </w:r>
      <w:r w:rsidR="001C4669" w:rsidRPr="00F91016">
        <w:rPr>
          <w:lang w:val="uk-UA"/>
        </w:rPr>
        <w:t>99</w:t>
      </w:r>
      <w:r w:rsidR="003C5A51" w:rsidRPr="00F91016">
        <w:rPr>
          <w:lang w:val="uk-UA"/>
        </w:rPr>
        <w:t>,3</w:t>
      </w:r>
      <w:r w:rsidRPr="00F91016">
        <w:rPr>
          <w:lang w:val="uk-UA"/>
        </w:rPr>
        <w:t xml:space="preserve">% від суми надходжень минулого періоду. Основною причиною </w:t>
      </w:r>
      <w:r w:rsidR="003C5A51" w:rsidRPr="00F91016">
        <w:rPr>
          <w:lang w:val="uk-UA"/>
        </w:rPr>
        <w:t xml:space="preserve">більших надходжень звітного </w:t>
      </w:r>
      <w:r w:rsidR="00E5251A" w:rsidRPr="00F91016">
        <w:rPr>
          <w:lang w:val="uk-UA"/>
        </w:rPr>
        <w:t>півріччя</w:t>
      </w:r>
      <w:r w:rsidRPr="00F91016">
        <w:rPr>
          <w:lang w:val="uk-UA"/>
        </w:rPr>
        <w:t xml:space="preserve"> </w:t>
      </w:r>
      <w:r w:rsidR="003C5A51" w:rsidRPr="00F91016">
        <w:rPr>
          <w:lang w:val="uk-UA"/>
        </w:rPr>
        <w:t xml:space="preserve">у порівнянні з аналогічним періодом 2022 року є </w:t>
      </w:r>
      <w:r w:rsidRPr="00F91016">
        <w:rPr>
          <w:lang w:val="uk-UA"/>
        </w:rPr>
        <w:t xml:space="preserve">призупинення у березні </w:t>
      </w:r>
      <w:r w:rsidR="003C5A51" w:rsidRPr="00F91016">
        <w:rPr>
          <w:lang w:val="uk-UA"/>
        </w:rPr>
        <w:t>2022 року</w:t>
      </w:r>
      <w:r w:rsidRPr="00F91016">
        <w:rPr>
          <w:lang w:val="uk-UA"/>
        </w:rPr>
        <w:t xml:space="preserve"> діяльності структурних підрозділів, які є надавачами адміністративних послуг, у зв’язку з вторгненням в Україну військ </w:t>
      </w:r>
      <w:r w:rsidR="00E5251A" w:rsidRPr="00F91016">
        <w:rPr>
          <w:lang w:val="uk-UA"/>
        </w:rPr>
        <w:t>р</w:t>
      </w:r>
      <w:r w:rsidRPr="00F91016">
        <w:rPr>
          <w:lang w:val="uk-UA"/>
        </w:rPr>
        <w:t xml:space="preserve">осійської </w:t>
      </w:r>
      <w:r w:rsidR="00E5251A" w:rsidRPr="00F91016">
        <w:rPr>
          <w:lang w:val="uk-UA"/>
        </w:rPr>
        <w:t>ф</w:t>
      </w:r>
      <w:r w:rsidRPr="00F91016">
        <w:rPr>
          <w:lang w:val="uk-UA"/>
        </w:rPr>
        <w:t>едерації, що розпочалось 24 лютого 2022 року.</w:t>
      </w:r>
    </w:p>
    <w:p w:rsidR="00982654" w:rsidRPr="00F91016" w:rsidRDefault="00E02D69" w:rsidP="0099436F">
      <w:pPr>
        <w:tabs>
          <w:tab w:val="left" w:pos="0"/>
        </w:tabs>
        <w:ind w:firstLine="567"/>
        <w:jc w:val="both"/>
        <w:rPr>
          <w:lang w:val="uk-UA"/>
        </w:rPr>
      </w:pPr>
      <w:r w:rsidRPr="00F91016">
        <w:rPr>
          <w:lang w:val="uk-UA"/>
        </w:rPr>
        <w:t xml:space="preserve">Крім того, </w:t>
      </w:r>
      <w:r w:rsidR="003C5A51" w:rsidRPr="00F91016">
        <w:rPr>
          <w:lang w:val="uk-UA"/>
        </w:rPr>
        <w:t xml:space="preserve">I </w:t>
      </w:r>
      <w:r w:rsidR="001C4669" w:rsidRPr="00F91016">
        <w:rPr>
          <w:lang w:val="uk-UA"/>
        </w:rPr>
        <w:t>піврічч</w:t>
      </w:r>
      <w:r w:rsidR="003C5A51" w:rsidRPr="00F91016">
        <w:rPr>
          <w:lang w:val="uk-UA"/>
        </w:rPr>
        <w:t xml:space="preserve">і 2023 року </w:t>
      </w:r>
      <w:r w:rsidR="00982654" w:rsidRPr="00F91016">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1C4669" w:rsidRPr="00F91016">
        <w:rPr>
          <w:lang w:val="uk-UA"/>
        </w:rPr>
        <w:t>1,9</w:t>
      </w:r>
      <w:r w:rsidR="00982654" w:rsidRPr="00F91016">
        <w:rPr>
          <w:lang w:val="uk-UA"/>
        </w:rPr>
        <w:t xml:space="preserve"> тис. грн</w:t>
      </w:r>
      <w:r w:rsidR="0099436F" w:rsidRPr="00F91016">
        <w:rPr>
          <w:lang w:val="uk-UA"/>
        </w:rPr>
        <w:t xml:space="preserve"> - повернення коштів минулих періодів</w:t>
      </w:r>
      <w:r w:rsidR="00982654" w:rsidRPr="00F91016">
        <w:rPr>
          <w:lang w:val="uk-UA"/>
        </w:rPr>
        <w:t xml:space="preserve">. </w:t>
      </w:r>
    </w:p>
    <w:p w:rsidR="00117239" w:rsidRPr="00F91016" w:rsidRDefault="00117239" w:rsidP="0099436F">
      <w:pPr>
        <w:tabs>
          <w:tab w:val="left" w:pos="0"/>
        </w:tabs>
        <w:ind w:firstLine="567"/>
        <w:jc w:val="both"/>
        <w:rPr>
          <w:lang w:val="uk-UA"/>
        </w:rPr>
      </w:pPr>
    </w:p>
    <w:p w:rsidR="00982654" w:rsidRPr="00750CF4" w:rsidRDefault="00982654" w:rsidP="00FB555B">
      <w:pPr>
        <w:tabs>
          <w:tab w:val="left" w:pos="1530"/>
        </w:tabs>
        <w:rPr>
          <w:b/>
          <w:i/>
          <w:color w:val="7030A0"/>
          <w:lang w:val="uk-UA"/>
        </w:rPr>
      </w:pPr>
    </w:p>
    <w:p w:rsidR="00982654" w:rsidRPr="00927A9C" w:rsidRDefault="00982654" w:rsidP="00982654">
      <w:pPr>
        <w:tabs>
          <w:tab w:val="left" w:pos="1530"/>
        </w:tabs>
        <w:jc w:val="center"/>
        <w:rPr>
          <w:b/>
          <w:i/>
          <w:lang w:val="uk-UA"/>
        </w:rPr>
      </w:pPr>
      <w:r w:rsidRPr="00927A9C">
        <w:rPr>
          <w:b/>
          <w:i/>
          <w:lang w:val="uk-UA"/>
        </w:rPr>
        <w:t>СПЕЦІАЛЬНИЙ ФОНД</w:t>
      </w:r>
    </w:p>
    <w:p w:rsidR="00117239" w:rsidRPr="00927A9C" w:rsidRDefault="00117239" w:rsidP="00982654">
      <w:pPr>
        <w:tabs>
          <w:tab w:val="left" w:pos="1530"/>
        </w:tabs>
        <w:jc w:val="center"/>
        <w:rPr>
          <w:b/>
          <w:i/>
          <w:lang w:val="uk-UA"/>
        </w:rPr>
      </w:pPr>
    </w:p>
    <w:p w:rsidR="00982654" w:rsidRPr="00927A9C" w:rsidRDefault="00982654" w:rsidP="00FB555B">
      <w:pPr>
        <w:pStyle w:val="2"/>
        <w:spacing w:after="0" w:line="240" w:lineRule="auto"/>
        <w:ind w:left="0" w:firstLine="567"/>
        <w:jc w:val="both"/>
        <w:rPr>
          <w:lang w:val="uk-UA"/>
        </w:rPr>
      </w:pPr>
      <w:r w:rsidRPr="00927A9C">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927A9C">
        <w:rPr>
          <w:lang w:val="uk-UA"/>
        </w:rPr>
        <w:t xml:space="preserve">за </w:t>
      </w:r>
      <w:r w:rsidR="002F074F" w:rsidRPr="00927A9C">
        <w:rPr>
          <w:lang w:val="uk-UA"/>
        </w:rPr>
        <w:t xml:space="preserve">I </w:t>
      </w:r>
      <w:r w:rsidR="009155AB" w:rsidRPr="00927A9C">
        <w:rPr>
          <w:lang w:val="uk-UA"/>
        </w:rPr>
        <w:t>півріччя</w:t>
      </w:r>
      <w:r w:rsidR="002F074F" w:rsidRPr="00927A9C">
        <w:rPr>
          <w:lang w:val="uk-UA"/>
        </w:rPr>
        <w:t xml:space="preserve"> 2023 року </w:t>
      </w:r>
      <w:r w:rsidRPr="00927A9C">
        <w:rPr>
          <w:lang w:val="uk-UA"/>
        </w:rPr>
        <w:t xml:space="preserve">виконано на </w:t>
      </w:r>
      <w:r w:rsidR="002F074F" w:rsidRPr="00927A9C">
        <w:rPr>
          <w:lang w:val="uk-UA"/>
        </w:rPr>
        <w:t>4</w:t>
      </w:r>
      <w:r w:rsidR="00D3183F" w:rsidRPr="00927A9C">
        <w:rPr>
          <w:lang w:val="uk-UA"/>
        </w:rPr>
        <w:t>9</w:t>
      </w:r>
      <w:r w:rsidR="002F074F" w:rsidRPr="00927A9C">
        <w:rPr>
          <w:lang w:val="uk-UA"/>
        </w:rPr>
        <w:t>,7</w:t>
      </w:r>
      <w:r w:rsidRPr="00927A9C">
        <w:rPr>
          <w:lang w:val="uk-UA"/>
        </w:rPr>
        <w:t xml:space="preserve"> %. </w:t>
      </w:r>
      <w:bookmarkStart w:id="7" w:name="_Hlk71186649"/>
    </w:p>
    <w:bookmarkEnd w:id="7"/>
    <w:p w:rsidR="00982654" w:rsidRPr="00927A9C" w:rsidRDefault="00982654" w:rsidP="00FB555B">
      <w:pPr>
        <w:tabs>
          <w:tab w:val="left" w:pos="0"/>
        </w:tabs>
        <w:ind w:firstLine="567"/>
        <w:rPr>
          <w:lang w:val="uk-UA"/>
        </w:rPr>
      </w:pPr>
      <w:r w:rsidRPr="00927A9C">
        <w:rPr>
          <w:lang w:val="uk-UA"/>
        </w:rPr>
        <w:t xml:space="preserve">При уточненому плані по доходах (без врахування трансфертів) </w:t>
      </w:r>
      <w:r w:rsidR="00D3183F" w:rsidRPr="00927A9C">
        <w:rPr>
          <w:lang w:val="uk-UA"/>
        </w:rPr>
        <w:t>104 064,1</w:t>
      </w:r>
      <w:r w:rsidRPr="00927A9C">
        <w:rPr>
          <w:lang w:val="uk-UA"/>
        </w:rPr>
        <w:t xml:space="preserve"> тис. грн, надійшло до бюджету громади – </w:t>
      </w:r>
      <w:r w:rsidR="00801134" w:rsidRPr="00927A9C">
        <w:rPr>
          <w:lang w:val="uk-UA"/>
        </w:rPr>
        <w:t>51 685,4</w:t>
      </w:r>
      <w:r w:rsidRPr="00927A9C">
        <w:rPr>
          <w:lang w:val="uk-UA"/>
        </w:rPr>
        <w:t xml:space="preserve"> тис. грн, в тому числі:</w:t>
      </w:r>
    </w:p>
    <w:p w:rsidR="00982654" w:rsidRPr="00927A9C" w:rsidRDefault="00982654" w:rsidP="00500B42">
      <w:pPr>
        <w:numPr>
          <w:ilvl w:val="0"/>
          <w:numId w:val="12"/>
        </w:numPr>
        <w:tabs>
          <w:tab w:val="clear" w:pos="1440"/>
          <w:tab w:val="left" w:pos="0"/>
        </w:tabs>
        <w:ind w:left="0" w:firstLine="567"/>
        <w:jc w:val="both"/>
        <w:rPr>
          <w:lang w:val="uk-UA"/>
        </w:rPr>
      </w:pPr>
      <w:r w:rsidRPr="00927A9C">
        <w:rPr>
          <w:lang w:val="uk-UA"/>
        </w:rPr>
        <w:lastRenderedPageBreak/>
        <w:t xml:space="preserve">надходження доходів від операцій з капіталом – </w:t>
      </w:r>
      <w:r w:rsidR="00801134" w:rsidRPr="00927A9C">
        <w:rPr>
          <w:lang w:val="uk-UA"/>
        </w:rPr>
        <w:t>68,0</w:t>
      </w:r>
      <w:r w:rsidRPr="00927A9C">
        <w:rPr>
          <w:lang w:val="uk-UA"/>
        </w:rPr>
        <w:t xml:space="preserve"> тис. грн, що становить </w:t>
      </w:r>
      <w:r w:rsidR="00AA327A" w:rsidRPr="00927A9C">
        <w:rPr>
          <w:lang w:val="uk-UA"/>
        </w:rPr>
        <w:t>0,</w:t>
      </w:r>
      <w:r w:rsidR="00801134" w:rsidRPr="00927A9C">
        <w:rPr>
          <w:lang w:val="uk-UA"/>
        </w:rPr>
        <w:t>2</w:t>
      </w:r>
      <w:r w:rsidRPr="00927A9C">
        <w:rPr>
          <w:lang w:val="uk-UA"/>
        </w:rPr>
        <w:t xml:space="preserve">% від плану на </w:t>
      </w:r>
      <w:r w:rsidR="00500B42" w:rsidRPr="00927A9C">
        <w:rPr>
          <w:lang w:val="uk-UA"/>
        </w:rPr>
        <w:t xml:space="preserve">I </w:t>
      </w:r>
      <w:r w:rsidR="00801134" w:rsidRPr="00927A9C">
        <w:rPr>
          <w:lang w:val="uk-UA"/>
        </w:rPr>
        <w:t>півріччя</w:t>
      </w:r>
      <w:r w:rsidR="00500B42" w:rsidRPr="00927A9C">
        <w:rPr>
          <w:lang w:val="uk-UA"/>
        </w:rPr>
        <w:t xml:space="preserve"> 2023 року</w:t>
      </w:r>
      <w:r w:rsidRPr="00927A9C">
        <w:rPr>
          <w:lang w:val="uk-UA"/>
        </w:rPr>
        <w:t>;</w:t>
      </w:r>
    </w:p>
    <w:p w:rsidR="00982654" w:rsidRPr="00927A9C" w:rsidRDefault="00982654" w:rsidP="00227F6E">
      <w:pPr>
        <w:numPr>
          <w:ilvl w:val="0"/>
          <w:numId w:val="12"/>
        </w:numPr>
        <w:tabs>
          <w:tab w:val="clear" w:pos="1440"/>
          <w:tab w:val="left" w:pos="0"/>
        </w:tabs>
        <w:ind w:left="0" w:firstLine="567"/>
        <w:jc w:val="both"/>
        <w:rPr>
          <w:lang w:val="uk-UA"/>
        </w:rPr>
      </w:pPr>
      <w:r w:rsidRPr="00927A9C">
        <w:rPr>
          <w:lang w:val="uk-UA"/>
        </w:rPr>
        <w:t xml:space="preserve">надходження коштів пайової участі у розвитку інфраструктури населеного пункту за </w:t>
      </w:r>
      <w:r w:rsidR="00227F6E" w:rsidRPr="00927A9C">
        <w:rPr>
          <w:lang w:val="uk-UA"/>
        </w:rPr>
        <w:t xml:space="preserve">I </w:t>
      </w:r>
      <w:r w:rsidR="003F2E41" w:rsidRPr="00927A9C">
        <w:rPr>
          <w:lang w:val="uk-UA"/>
        </w:rPr>
        <w:t>півріччя</w:t>
      </w:r>
      <w:r w:rsidR="00227F6E" w:rsidRPr="00927A9C">
        <w:rPr>
          <w:lang w:val="uk-UA"/>
        </w:rPr>
        <w:t xml:space="preserve"> 2023 року відсутнє;</w:t>
      </w:r>
    </w:p>
    <w:p w:rsidR="00982654" w:rsidRPr="00927A9C" w:rsidRDefault="00982654" w:rsidP="006D03DE">
      <w:pPr>
        <w:numPr>
          <w:ilvl w:val="0"/>
          <w:numId w:val="12"/>
        </w:numPr>
        <w:tabs>
          <w:tab w:val="clear" w:pos="1440"/>
          <w:tab w:val="left" w:pos="0"/>
        </w:tabs>
        <w:ind w:left="0" w:firstLine="567"/>
        <w:jc w:val="both"/>
        <w:rPr>
          <w:lang w:val="uk-UA"/>
        </w:rPr>
      </w:pPr>
      <w:r w:rsidRPr="00927A9C">
        <w:rPr>
          <w:lang w:val="uk-UA"/>
        </w:rPr>
        <w:t xml:space="preserve">цiльовi фонди, утворені Верховною Радою АРК, органами місцевого самоврядування і місцевими органами виконавчої влади – </w:t>
      </w:r>
      <w:r w:rsidR="00CF3F2E" w:rsidRPr="00927A9C">
        <w:rPr>
          <w:lang w:val="uk-UA"/>
        </w:rPr>
        <w:t>1 169</w:t>
      </w:r>
      <w:r w:rsidR="00D0618C" w:rsidRPr="00927A9C">
        <w:rPr>
          <w:lang w:val="uk-UA"/>
        </w:rPr>
        <w:t>,</w:t>
      </w:r>
      <w:r w:rsidR="00CF3F2E" w:rsidRPr="00927A9C">
        <w:rPr>
          <w:lang w:val="uk-UA"/>
        </w:rPr>
        <w:t>1</w:t>
      </w:r>
      <w:r w:rsidRPr="00927A9C">
        <w:rPr>
          <w:lang w:val="uk-UA"/>
        </w:rPr>
        <w:t xml:space="preserve"> тис. грн, виконання плану становить </w:t>
      </w:r>
      <w:r w:rsidR="00CF3F2E" w:rsidRPr="00927A9C">
        <w:rPr>
          <w:lang w:val="uk-UA"/>
        </w:rPr>
        <w:t>34,5</w:t>
      </w:r>
      <w:r w:rsidRPr="00927A9C">
        <w:rPr>
          <w:lang w:val="uk-UA"/>
        </w:rPr>
        <w:t xml:space="preserve">%; </w:t>
      </w:r>
    </w:p>
    <w:p w:rsidR="00982654" w:rsidRPr="00927A9C" w:rsidRDefault="00982654" w:rsidP="006D03DE">
      <w:pPr>
        <w:numPr>
          <w:ilvl w:val="0"/>
          <w:numId w:val="12"/>
        </w:numPr>
        <w:tabs>
          <w:tab w:val="clear" w:pos="1440"/>
          <w:tab w:val="left" w:pos="0"/>
        </w:tabs>
        <w:ind w:left="0" w:firstLine="567"/>
        <w:jc w:val="both"/>
        <w:rPr>
          <w:lang w:val="uk-UA"/>
        </w:rPr>
      </w:pPr>
      <w:r w:rsidRPr="00927A9C">
        <w:rPr>
          <w:lang w:val="uk-UA"/>
        </w:rPr>
        <w:t xml:space="preserve">власні надходження бюджетних установ – </w:t>
      </w:r>
      <w:r w:rsidR="00CF3F2E" w:rsidRPr="00927A9C">
        <w:rPr>
          <w:lang w:val="uk-UA"/>
        </w:rPr>
        <w:t>50 420,2</w:t>
      </w:r>
      <w:r w:rsidRPr="00927A9C">
        <w:rPr>
          <w:lang w:val="uk-UA"/>
        </w:rPr>
        <w:t xml:space="preserve"> тис. грн, що становить </w:t>
      </w:r>
      <w:r w:rsidR="00CF3F2E" w:rsidRPr="00927A9C">
        <w:rPr>
          <w:lang w:val="uk-UA"/>
        </w:rPr>
        <w:t>86,3</w:t>
      </w:r>
      <w:r w:rsidRPr="00927A9C">
        <w:rPr>
          <w:lang w:val="uk-UA"/>
        </w:rPr>
        <w:t xml:space="preserve">% від </w:t>
      </w:r>
      <w:r w:rsidR="00DC1C97" w:rsidRPr="00927A9C">
        <w:rPr>
          <w:lang w:val="uk-UA"/>
        </w:rPr>
        <w:t xml:space="preserve">уточненого </w:t>
      </w:r>
      <w:r w:rsidRPr="00927A9C">
        <w:rPr>
          <w:lang w:val="uk-UA"/>
        </w:rPr>
        <w:t xml:space="preserve">плану на </w:t>
      </w:r>
      <w:r w:rsidR="00DC1C97" w:rsidRPr="00927A9C">
        <w:rPr>
          <w:lang w:val="uk-UA"/>
        </w:rPr>
        <w:t>рік</w:t>
      </w:r>
      <w:r w:rsidRPr="00927A9C">
        <w:t>;</w:t>
      </w:r>
      <w:r w:rsidRPr="00927A9C">
        <w:rPr>
          <w:lang w:val="uk-UA"/>
        </w:rPr>
        <w:t xml:space="preserve"> </w:t>
      </w:r>
    </w:p>
    <w:p w:rsidR="00982654" w:rsidRPr="00927A9C" w:rsidRDefault="00982654" w:rsidP="006D03DE">
      <w:pPr>
        <w:numPr>
          <w:ilvl w:val="0"/>
          <w:numId w:val="12"/>
        </w:numPr>
        <w:tabs>
          <w:tab w:val="clear" w:pos="1440"/>
          <w:tab w:val="left" w:pos="0"/>
        </w:tabs>
        <w:ind w:left="0" w:firstLine="567"/>
        <w:jc w:val="both"/>
        <w:rPr>
          <w:lang w:val="uk-UA"/>
        </w:rPr>
      </w:pPr>
      <w:r w:rsidRPr="00927A9C">
        <w:rPr>
          <w:lang w:val="uk-UA"/>
        </w:rPr>
        <w:t xml:space="preserve">надходження екологічного податку – </w:t>
      </w:r>
      <w:r w:rsidR="00CF3F2E" w:rsidRPr="00927A9C">
        <w:rPr>
          <w:lang w:val="uk-UA"/>
        </w:rPr>
        <w:t>28,1</w:t>
      </w:r>
      <w:r w:rsidRPr="00927A9C">
        <w:rPr>
          <w:lang w:val="uk-UA"/>
        </w:rPr>
        <w:t xml:space="preserve"> тис. грн, </w:t>
      </w:r>
      <w:r w:rsidR="00CF3F2E" w:rsidRPr="00927A9C">
        <w:rPr>
          <w:lang w:val="uk-UA"/>
        </w:rPr>
        <w:t>231,9</w:t>
      </w:r>
      <w:r w:rsidRPr="00927A9C">
        <w:rPr>
          <w:lang w:val="uk-UA"/>
        </w:rPr>
        <w:t>% виконання плану</w:t>
      </w:r>
      <w:r w:rsidRPr="00927A9C">
        <w:t>;</w:t>
      </w:r>
    </w:p>
    <w:p w:rsidR="00982654" w:rsidRPr="00927A9C" w:rsidRDefault="00982654" w:rsidP="00B1747B">
      <w:pPr>
        <w:numPr>
          <w:ilvl w:val="0"/>
          <w:numId w:val="12"/>
        </w:numPr>
        <w:tabs>
          <w:tab w:val="clear" w:pos="1440"/>
        </w:tabs>
        <w:ind w:left="0" w:firstLine="567"/>
        <w:jc w:val="both"/>
        <w:rPr>
          <w:lang w:val="uk-UA"/>
        </w:rPr>
      </w:pPr>
      <w:r w:rsidRPr="00927A9C">
        <w:rPr>
          <w:lang w:val="uk-UA"/>
        </w:rPr>
        <w:t>надходження коштів від відшкодування втрат сільськогосподарського і лісогосподарського  виробництва -</w:t>
      </w:r>
      <w:r w:rsidR="007E1400" w:rsidRPr="00927A9C">
        <w:rPr>
          <w:lang w:val="uk-UA"/>
        </w:rPr>
        <w:t xml:space="preserve"> </w:t>
      </w:r>
      <w:r w:rsidR="00D0618C" w:rsidRPr="00927A9C">
        <w:rPr>
          <w:lang w:val="uk-UA"/>
        </w:rPr>
        <w:t>відсутнє</w:t>
      </w:r>
      <w:r w:rsidR="00CA37BC" w:rsidRPr="00927A9C">
        <w:rPr>
          <w:lang w:val="uk-UA"/>
        </w:rPr>
        <w:t>.</w:t>
      </w:r>
    </w:p>
    <w:p w:rsidR="00982654" w:rsidRPr="00927A9C" w:rsidRDefault="00982654" w:rsidP="00FB555B">
      <w:pPr>
        <w:pStyle w:val="af6"/>
        <w:ind w:left="0" w:firstLine="567"/>
        <w:jc w:val="both"/>
        <w:rPr>
          <w:rFonts w:ascii="Times New Roman" w:hAnsi="Times New Roman"/>
          <w:sz w:val="24"/>
          <w:szCs w:val="24"/>
        </w:rPr>
      </w:pPr>
    </w:p>
    <w:p w:rsidR="00982654" w:rsidRPr="00927A9C" w:rsidRDefault="00982654" w:rsidP="00FB555B">
      <w:pPr>
        <w:pStyle w:val="af6"/>
        <w:ind w:left="0" w:firstLine="567"/>
        <w:jc w:val="both"/>
        <w:rPr>
          <w:rFonts w:ascii="Times New Roman" w:hAnsi="Times New Roman"/>
          <w:sz w:val="24"/>
          <w:szCs w:val="24"/>
        </w:rPr>
      </w:pPr>
      <w:r w:rsidRPr="00927A9C">
        <w:rPr>
          <w:rFonts w:ascii="Times New Roman" w:hAnsi="Times New Roman"/>
          <w:sz w:val="24"/>
          <w:szCs w:val="24"/>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F115D2" w:rsidRPr="00927A9C">
        <w:rPr>
          <w:rFonts w:ascii="Times New Roman" w:hAnsi="Times New Roman"/>
          <w:sz w:val="24"/>
          <w:szCs w:val="24"/>
        </w:rPr>
        <w:t xml:space="preserve">I </w:t>
      </w:r>
      <w:r w:rsidR="00847D11" w:rsidRPr="00927A9C">
        <w:rPr>
          <w:rFonts w:ascii="Times New Roman" w:hAnsi="Times New Roman"/>
          <w:sz w:val="24"/>
          <w:szCs w:val="24"/>
        </w:rPr>
        <w:t>півріччя</w:t>
      </w:r>
      <w:r w:rsidR="00F115D2" w:rsidRPr="00927A9C">
        <w:rPr>
          <w:rFonts w:ascii="Times New Roman" w:hAnsi="Times New Roman"/>
          <w:sz w:val="24"/>
          <w:szCs w:val="24"/>
        </w:rPr>
        <w:t xml:space="preserve"> 2023 року </w:t>
      </w:r>
      <w:r w:rsidRPr="00927A9C">
        <w:rPr>
          <w:rFonts w:ascii="Times New Roman" w:hAnsi="Times New Roman"/>
          <w:sz w:val="24"/>
          <w:szCs w:val="24"/>
        </w:rPr>
        <w:t>(без врахування трансфертів) наступна:</w:t>
      </w:r>
    </w:p>
    <w:p w:rsidR="00982654" w:rsidRPr="00927A9C"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27A9C">
        <w:rPr>
          <w:rFonts w:ascii="Times New Roman" w:hAnsi="Times New Roman"/>
          <w:sz w:val="24"/>
          <w:szCs w:val="24"/>
        </w:rPr>
        <w:t xml:space="preserve">надходження доходів від операцій з капіталом – </w:t>
      </w:r>
      <w:r w:rsidR="000234AB" w:rsidRPr="00927A9C">
        <w:rPr>
          <w:rFonts w:ascii="Times New Roman" w:hAnsi="Times New Roman"/>
          <w:sz w:val="24"/>
          <w:szCs w:val="24"/>
        </w:rPr>
        <w:t>0,</w:t>
      </w:r>
      <w:r w:rsidR="00F05DF2" w:rsidRPr="00927A9C">
        <w:rPr>
          <w:rFonts w:ascii="Times New Roman" w:hAnsi="Times New Roman"/>
          <w:sz w:val="24"/>
          <w:szCs w:val="24"/>
        </w:rPr>
        <w:t>13</w:t>
      </w:r>
      <w:r w:rsidRPr="00927A9C">
        <w:rPr>
          <w:rFonts w:ascii="Times New Roman" w:hAnsi="Times New Roman"/>
          <w:sz w:val="24"/>
          <w:szCs w:val="24"/>
        </w:rPr>
        <w:t>%;</w:t>
      </w:r>
    </w:p>
    <w:p w:rsidR="00982654" w:rsidRPr="00927A9C"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27A9C">
        <w:rPr>
          <w:rFonts w:ascii="Times New Roman" w:hAnsi="Times New Roman"/>
          <w:sz w:val="24"/>
          <w:szCs w:val="24"/>
        </w:rPr>
        <w:t xml:space="preserve">власні надходження бюджетних установ – </w:t>
      </w:r>
      <w:r w:rsidR="00464DC0" w:rsidRPr="00927A9C">
        <w:rPr>
          <w:rFonts w:ascii="Times New Roman" w:hAnsi="Times New Roman"/>
          <w:sz w:val="24"/>
          <w:szCs w:val="24"/>
        </w:rPr>
        <w:t>9</w:t>
      </w:r>
      <w:r w:rsidR="00F05DF2" w:rsidRPr="00927A9C">
        <w:rPr>
          <w:rFonts w:ascii="Times New Roman" w:hAnsi="Times New Roman"/>
          <w:sz w:val="24"/>
          <w:szCs w:val="24"/>
        </w:rPr>
        <w:t>7</w:t>
      </w:r>
      <w:r w:rsidR="000234AB" w:rsidRPr="00927A9C">
        <w:rPr>
          <w:rFonts w:ascii="Times New Roman" w:hAnsi="Times New Roman"/>
          <w:sz w:val="24"/>
          <w:szCs w:val="24"/>
        </w:rPr>
        <w:t>,</w:t>
      </w:r>
      <w:r w:rsidR="00F05DF2" w:rsidRPr="00927A9C">
        <w:rPr>
          <w:rFonts w:ascii="Times New Roman" w:hAnsi="Times New Roman"/>
          <w:sz w:val="24"/>
          <w:szCs w:val="24"/>
        </w:rPr>
        <w:t>60</w:t>
      </w:r>
      <w:r w:rsidRPr="00927A9C">
        <w:rPr>
          <w:rFonts w:ascii="Times New Roman" w:hAnsi="Times New Roman"/>
          <w:sz w:val="24"/>
          <w:szCs w:val="24"/>
        </w:rPr>
        <w:t>%;</w:t>
      </w:r>
    </w:p>
    <w:p w:rsidR="00982654" w:rsidRPr="00927A9C"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27A9C">
        <w:rPr>
          <w:rFonts w:ascii="Times New Roman" w:hAnsi="Times New Roman"/>
          <w:sz w:val="24"/>
          <w:szCs w:val="24"/>
        </w:rPr>
        <w:t xml:space="preserve">цільові фонди – </w:t>
      </w:r>
      <w:r w:rsidR="00F05DF2" w:rsidRPr="00927A9C">
        <w:rPr>
          <w:rFonts w:ascii="Times New Roman" w:hAnsi="Times New Roman"/>
          <w:sz w:val="24"/>
          <w:szCs w:val="24"/>
        </w:rPr>
        <w:t>2,27</w:t>
      </w:r>
      <w:r w:rsidRPr="00927A9C">
        <w:rPr>
          <w:rFonts w:ascii="Times New Roman" w:hAnsi="Times New Roman"/>
          <w:sz w:val="24"/>
          <w:szCs w:val="24"/>
        </w:rPr>
        <w:t>%;</w:t>
      </w:r>
    </w:p>
    <w:p w:rsidR="00982654" w:rsidRPr="0066695E" w:rsidRDefault="00982654" w:rsidP="00FB555B">
      <w:pPr>
        <w:pStyle w:val="af6"/>
        <w:ind w:left="0" w:firstLine="567"/>
        <w:jc w:val="both"/>
        <w:rPr>
          <w:rFonts w:ascii="Times New Roman" w:hAnsi="Times New Roman"/>
          <w:color w:val="002060"/>
          <w:sz w:val="24"/>
          <w:szCs w:val="24"/>
        </w:rPr>
      </w:pPr>
      <w:r w:rsidRPr="00927A9C">
        <w:rPr>
          <w:rFonts w:ascii="Times New Roman" w:hAnsi="Times New Roman"/>
          <w:sz w:val="24"/>
          <w:szCs w:val="24"/>
        </w:rPr>
        <w:tab/>
        <w:t>Зокрема, структура відповідних фактичних надходжень виглядає наступним чином:</w:t>
      </w:r>
    </w:p>
    <w:p w:rsidR="00982654" w:rsidRPr="00750CF4" w:rsidRDefault="00982654" w:rsidP="00FB555B">
      <w:pPr>
        <w:pStyle w:val="af6"/>
        <w:ind w:left="0" w:firstLine="567"/>
        <w:jc w:val="both"/>
        <w:rPr>
          <w:rFonts w:ascii="Times New Roman" w:hAnsi="Times New Roman"/>
          <w:color w:val="7030A0"/>
          <w:sz w:val="24"/>
          <w:szCs w:val="24"/>
        </w:rPr>
      </w:pPr>
    </w:p>
    <w:p w:rsidR="00954035" w:rsidRPr="00750CF4" w:rsidRDefault="00954035" w:rsidP="00FB555B">
      <w:pPr>
        <w:pStyle w:val="af6"/>
        <w:ind w:left="0" w:firstLine="567"/>
        <w:jc w:val="both"/>
        <w:rPr>
          <w:rFonts w:ascii="Times New Roman" w:hAnsi="Times New Roman"/>
          <w:color w:val="7030A0"/>
          <w:sz w:val="24"/>
          <w:szCs w:val="24"/>
        </w:rPr>
      </w:pPr>
    </w:p>
    <w:p w:rsidR="00982654" w:rsidRPr="00750CF4" w:rsidRDefault="00982654" w:rsidP="00982654">
      <w:pPr>
        <w:pStyle w:val="af6"/>
        <w:ind w:left="0"/>
        <w:jc w:val="center"/>
        <w:rPr>
          <w:rFonts w:asciiTheme="minorHAnsi" w:hAnsiTheme="minorHAnsi" w:cstheme="minorHAnsi"/>
          <w:b/>
          <w:i/>
          <w:color w:val="7030A0"/>
        </w:rPr>
      </w:pPr>
      <w:r w:rsidRPr="00750CF4">
        <w:rPr>
          <w:noProof/>
          <w:color w:val="7030A0"/>
          <w:lang w:eastAsia="uk-UA"/>
        </w:rPr>
        <w:drawing>
          <wp:inline distT="0" distB="0" distL="0" distR="0" wp14:anchorId="2B269B2A" wp14:editId="031B56E1">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2C8B" w:rsidRPr="00750CF4" w:rsidRDefault="00EC2C8B" w:rsidP="00FB555B">
      <w:pPr>
        <w:tabs>
          <w:tab w:val="left" w:pos="1530"/>
        </w:tabs>
        <w:ind w:firstLine="567"/>
        <w:jc w:val="both"/>
        <w:rPr>
          <w:color w:val="7030A0"/>
          <w:lang w:val="uk-UA"/>
        </w:rPr>
      </w:pPr>
    </w:p>
    <w:p w:rsidR="00982654" w:rsidRPr="003073BA" w:rsidRDefault="00982654" w:rsidP="00FB555B">
      <w:pPr>
        <w:tabs>
          <w:tab w:val="left" w:pos="1530"/>
        </w:tabs>
        <w:ind w:firstLine="567"/>
        <w:jc w:val="both"/>
        <w:rPr>
          <w:lang w:val="uk-UA"/>
        </w:rPr>
      </w:pPr>
      <w:r w:rsidRPr="003073BA">
        <w:rPr>
          <w:lang w:val="uk-UA"/>
        </w:rPr>
        <w:t xml:space="preserve">Порівнюючи </w:t>
      </w:r>
      <w:r w:rsidR="00243FDE" w:rsidRPr="003073BA">
        <w:rPr>
          <w:lang w:val="uk-UA"/>
        </w:rPr>
        <w:t>н</w:t>
      </w:r>
      <w:r w:rsidRPr="003073BA">
        <w:rPr>
          <w:lang w:val="uk-UA"/>
        </w:rPr>
        <w:t xml:space="preserve">адходження за </w:t>
      </w:r>
      <w:r w:rsidR="00226337" w:rsidRPr="003073BA">
        <w:rPr>
          <w:lang w:val="uk-UA"/>
        </w:rPr>
        <w:t xml:space="preserve">I </w:t>
      </w:r>
      <w:r w:rsidR="009551A6" w:rsidRPr="003073BA">
        <w:rPr>
          <w:lang w:val="uk-UA"/>
        </w:rPr>
        <w:t>півріччя</w:t>
      </w:r>
      <w:r w:rsidR="00226337" w:rsidRPr="003073BA">
        <w:rPr>
          <w:lang w:val="uk-UA"/>
        </w:rPr>
        <w:t xml:space="preserve"> 202</w:t>
      </w:r>
      <w:r w:rsidR="00243FDE" w:rsidRPr="003073BA">
        <w:rPr>
          <w:lang w:val="uk-UA"/>
        </w:rPr>
        <w:t>3</w:t>
      </w:r>
      <w:r w:rsidR="00226337" w:rsidRPr="003073BA">
        <w:rPr>
          <w:lang w:val="uk-UA"/>
        </w:rPr>
        <w:t xml:space="preserve"> року</w:t>
      </w:r>
      <w:r w:rsidRPr="003073BA">
        <w:rPr>
          <w:lang w:val="uk-UA"/>
        </w:rPr>
        <w:t>, сума доходів спеціального фонду бюджету Бучанської міської територіальної громад</w:t>
      </w:r>
      <w:r w:rsidR="00226337" w:rsidRPr="003073BA">
        <w:rPr>
          <w:lang w:val="uk-UA"/>
        </w:rPr>
        <w:t>и (без врахування трансфертів) збіль</w:t>
      </w:r>
      <w:r w:rsidRPr="003073BA">
        <w:rPr>
          <w:lang w:val="uk-UA"/>
        </w:rPr>
        <w:t xml:space="preserve">шилась  на </w:t>
      </w:r>
      <w:r w:rsidR="009551A6" w:rsidRPr="003073BA">
        <w:rPr>
          <w:lang w:val="uk-UA"/>
        </w:rPr>
        <w:t>46 584,0</w:t>
      </w:r>
      <w:r w:rsidRPr="003073BA">
        <w:rPr>
          <w:lang w:val="uk-UA"/>
        </w:rPr>
        <w:t xml:space="preserve"> тис. грн, що становить </w:t>
      </w:r>
      <w:r w:rsidR="009551A6" w:rsidRPr="003073BA">
        <w:rPr>
          <w:lang w:val="uk-UA"/>
        </w:rPr>
        <w:t>1013,2</w:t>
      </w:r>
      <w:r w:rsidRPr="003073BA">
        <w:rPr>
          <w:lang w:val="uk-UA"/>
        </w:rPr>
        <w:t>% від надходжень за аналогічний період минулого року.</w:t>
      </w:r>
    </w:p>
    <w:p w:rsidR="00982654" w:rsidRPr="003073BA" w:rsidRDefault="00982654" w:rsidP="00FB555B">
      <w:pPr>
        <w:pStyle w:val="ae"/>
        <w:spacing w:before="0" w:after="0"/>
        <w:ind w:firstLine="567"/>
        <w:jc w:val="both"/>
        <w:rPr>
          <w:szCs w:val="24"/>
          <w:lang w:val="uk-UA"/>
        </w:rPr>
      </w:pPr>
      <w:r w:rsidRPr="003073BA">
        <w:rPr>
          <w:szCs w:val="24"/>
          <w:lang w:val="uk-UA"/>
        </w:rPr>
        <w:lastRenderedPageBreak/>
        <w:t xml:space="preserve">За </w:t>
      </w:r>
      <w:r w:rsidR="00226337" w:rsidRPr="003073BA">
        <w:rPr>
          <w:szCs w:val="24"/>
          <w:lang w:val="uk-UA"/>
        </w:rPr>
        <w:t xml:space="preserve">I </w:t>
      </w:r>
      <w:r w:rsidR="009551A6" w:rsidRPr="003073BA">
        <w:rPr>
          <w:szCs w:val="24"/>
          <w:lang w:val="uk-UA"/>
        </w:rPr>
        <w:t>півріччя</w:t>
      </w:r>
      <w:r w:rsidR="00226337" w:rsidRPr="003073BA">
        <w:rPr>
          <w:szCs w:val="24"/>
          <w:lang w:val="uk-UA"/>
        </w:rPr>
        <w:t xml:space="preserve"> 2023 року </w:t>
      </w:r>
      <w:r w:rsidRPr="003073BA">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9551A6" w:rsidRPr="003073BA">
        <w:rPr>
          <w:szCs w:val="24"/>
          <w:lang w:val="uk-UA"/>
        </w:rPr>
        <w:t>68,0</w:t>
      </w:r>
      <w:r w:rsidRPr="003073BA">
        <w:rPr>
          <w:szCs w:val="24"/>
          <w:lang w:val="uk-UA"/>
        </w:rPr>
        <w:t xml:space="preserve"> тис. грн, що становить </w:t>
      </w:r>
      <w:r w:rsidR="009E1169" w:rsidRPr="003073BA">
        <w:rPr>
          <w:szCs w:val="24"/>
          <w:lang w:val="uk-UA"/>
        </w:rPr>
        <w:t>0,</w:t>
      </w:r>
      <w:r w:rsidR="009551A6" w:rsidRPr="003073BA">
        <w:rPr>
          <w:szCs w:val="24"/>
          <w:lang w:val="uk-UA"/>
        </w:rPr>
        <w:t>2</w:t>
      </w:r>
      <w:r w:rsidRPr="003073BA">
        <w:rPr>
          <w:szCs w:val="24"/>
          <w:lang w:val="uk-UA"/>
        </w:rPr>
        <w:t xml:space="preserve"> % виконання плану. Порівнюючи з надходженнями за </w:t>
      </w:r>
      <w:r w:rsidR="00D81295" w:rsidRPr="003073BA">
        <w:rPr>
          <w:szCs w:val="24"/>
          <w:lang w:val="uk-UA"/>
        </w:rPr>
        <w:t xml:space="preserve">I </w:t>
      </w:r>
      <w:r w:rsidR="009551A6" w:rsidRPr="003073BA">
        <w:rPr>
          <w:szCs w:val="24"/>
          <w:lang w:val="uk-UA"/>
        </w:rPr>
        <w:t>півріччя</w:t>
      </w:r>
      <w:r w:rsidR="00D81295" w:rsidRPr="003073BA">
        <w:rPr>
          <w:szCs w:val="24"/>
          <w:lang w:val="uk-UA"/>
        </w:rPr>
        <w:t xml:space="preserve"> 202</w:t>
      </w:r>
      <w:r w:rsidR="007176EA" w:rsidRPr="003073BA">
        <w:rPr>
          <w:szCs w:val="24"/>
          <w:lang w:val="uk-UA"/>
        </w:rPr>
        <w:t>2</w:t>
      </w:r>
      <w:r w:rsidR="00D81295" w:rsidRPr="003073BA">
        <w:rPr>
          <w:szCs w:val="24"/>
          <w:lang w:val="uk-UA"/>
        </w:rPr>
        <w:t xml:space="preserve"> року</w:t>
      </w:r>
      <w:r w:rsidRPr="003073BA">
        <w:rPr>
          <w:szCs w:val="24"/>
          <w:lang w:val="uk-UA"/>
        </w:rPr>
        <w:t>, сума доходів від продажу земельних ділянок несільськогосподарського призначення з</w:t>
      </w:r>
      <w:r w:rsidR="009E1169" w:rsidRPr="003073BA">
        <w:rPr>
          <w:szCs w:val="24"/>
          <w:lang w:val="uk-UA"/>
        </w:rPr>
        <w:t>мен</w:t>
      </w:r>
      <w:r w:rsidRPr="003073BA">
        <w:rPr>
          <w:szCs w:val="24"/>
          <w:lang w:val="uk-UA"/>
        </w:rPr>
        <w:t xml:space="preserve">шилась  на </w:t>
      </w:r>
      <w:r w:rsidR="009551A6" w:rsidRPr="003073BA">
        <w:rPr>
          <w:szCs w:val="24"/>
          <w:lang w:val="uk-UA"/>
        </w:rPr>
        <w:t>670,2</w:t>
      </w:r>
      <w:r w:rsidRPr="003073BA">
        <w:rPr>
          <w:szCs w:val="24"/>
          <w:lang w:val="uk-UA"/>
        </w:rPr>
        <w:t xml:space="preserve"> тис. грн. </w:t>
      </w:r>
      <w:r w:rsidR="009E1169" w:rsidRPr="003073BA">
        <w:rPr>
          <w:szCs w:val="24"/>
          <w:lang w:val="uk-UA"/>
        </w:rPr>
        <w:t xml:space="preserve">що у відсотковому співвідношенні складає </w:t>
      </w:r>
      <w:r w:rsidR="009551A6" w:rsidRPr="003073BA">
        <w:rPr>
          <w:szCs w:val="24"/>
          <w:lang w:val="uk-UA"/>
        </w:rPr>
        <w:t>9,2</w:t>
      </w:r>
      <w:r w:rsidR="009E1169" w:rsidRPr="003073BA">
        <w:rPr>
          <w:szCs w:val="24"/>
          <w:lang w:val="uk-UA"/>
        </w:rPr>
        <w:t xml:space="preserve">%. </w:t>
      </w:r>
      <w:r w:rsidRPr="003073BA">
        <w:rPr>
          <w:szCs w:val="24"/>
          <w:lang w:val="uk-UA"/>
        </w:rPr>
        <w:t xml:space="preserve">від надходжень за </w:t>
      </w:r>
      <w:r w:rsidR="007176EA" w:rsidRPr="003073BA">
        <w:rPr>
          <w:szCs w:val="24"/>
          <w:lang w:val="uk-UA"/>
        </w:rPr>
        <w:t xml:space="preserve">відповідний період </w:t>
      </w:r>
      <w:r w:rsidR="009E1169" w:rsidRPr="003073BA">
        <w:rPr>
          <w:szCs w:val="24"/>
          <w:lang w:val="uk-UA"/>
        </w:rPr>
        <w:t>202</w:t>
      </w:r>
      <w:r w:rsidR="007176EA" w:rsidRPr="003073BA">
        <w:rPr>
          <w:szCs w:val="24"/>
          <w:lang w:val="uk-UA"/>
        </w:rPr>
        <w:t>2</w:t>
      </w:r>
      <w:r w:rsidR="009E1169" w:rsidRPr="003073BA">
        <w:rPr>
          <w:szCs w:val="24"/>
          <w:lang w:val="uk-UA"/>
        </w:rPr>
        <w:t xml:space="preserve"> р</w:t>
      </w:r>
      <w:r w:rsidR="007176EA" w:rsidRPr="003073BA">
        <w:rPr>
          <w:szCs w:val="24"/>
          <w:lang w:val="uk-UA"/>
        </w:rPr>
        <w:t>оку</w:t>
      </w:r>
      <w:r w:rsidRPr="003073BA">
        <w:rPr>
          <w:szCs w:val="24"/>
          <w:lang w:val="uk-UA"/>
        </w:rPr>
        <w:t>.</w:t>
      </w:r>
    </w:p>
    <w:p w:rsidR="00982654" w:rsidRPr="003073BA" w:rsidRDefault="00982654" w:rsidP="00002DED">
      <w:pPr>
        <w:tabs>
          <w:tab w:val="left" w:pos="1530"/>
        </w:tabs>
        <w:ind w:firstLine="567"/>
        <w:jc w:val="both"/>
        <w:rPr>
          <w:lang w:val="uk-UA"/>
        </w:rPr>
      </w:pPr>
      <w:r w:rsidRPr="003073BA">
        <w:rPr>
          <w:lang w:val="uk-UA"/>
        </w:rPr>
        <w:t>При уточненому плані по власних надходженнях бюджетних установ на 202</w:t>
      </w:r>
      <w:r w:rsidR="006F438E" w:rsidRPr="003073BA">
        <w:rPr>
          <w:lang w:val="uk-UA"/>
        </w:rPr>
        <w:t>3</w:t>
      </w:r>
      <w:r w:rsidRPr="003073BA">
        <w:rPr>
          <w:lang w:val="uk-UA"/>
        </w:rPr>
        <w:t xml:space="preserve"> рік </w:t>
      </w:r>
      <w:r w:rsidR="00114AB7" w:rsidRPr="003073BA">
        <w:rPr>
          <w:lang w:val="uk-UA"/>
        </w:rPr>
        <w:t>58 438,0</w:t>
      </w:r>
      <w:r w:rsidRPr="003073BA">
        <w:rPr>
          <w:lang w:val="uk-UA"/>
        </w:rPr>
        <w:t xml:space="preserve"> тис. грн, </w:t>
      </w:r>
      <w:r w:rsidR="00411762" w:rsidRPr="003073BA">
        <w:rPr>
          <w:lang w:val="uk-UA"/>
        </w:rPr>
        <w:t>в доход спеціального фонду бюджету зараховано</w:t>
      </w:r>
      <w:r w:rsidRPr="003073BA">
        <w:rPr>
          <w:lang w:val="uk-UA"/>
        </w:rPr>
        <w:t xml:space="preserve"> </w:t>
      </w:r>
      <w:r w:rsidR="00BD7ABB" w:rsidRPr="003073BA">
        <w:rPr>
          <w:lang w:val="uk-UA"/>
        </w:rPr>
        <w:t>50 420,2</w:t>
      </w:r>
      <w:r w:rsidRPr="003073BA">
        <w:rPr>
          <w:lang w:val="uk-UA"/>
        </w:rPr>
        <w:t xml:space="preserve"> тис. грн, що становить </w:t>
      </w:r>
      <w:r w:rsidR="00BD7ABB" w:rsidRPr="003073BA">
        <w:rPr>
          <w:lang w:val="uk-UA"/>
        </w:rPr>
        <w:t>86,3</w:t>
      </w:r>
      <w:r w:rsidRPr="003073BA">
        <w:rPr>
          <w:lang w:val="uk-UA"/>
        </w:rPr>
        <w:t xml:space="preserve">% від річного плану. В порівнянні з </w:t>
      </w:r>
      <w:r w:rsidR="006F438E" w:rsidRPr="003073BA">
        <w:rPr>
          <w:lang w:val="uk-UA"/>
        </w:rPr>
        <w:t xml:space="preserve">I </w:t>
      </w:r>
      <w:r w:rsidR="00BD7ABB" w:rsidRPr="003073BA">
        <w:rPr>
          <w:lang w:val="uk-UA"/>
        </w:rPr>
        <w:t>півріччям</w:t>
      </w:r>
      <w:r w:rsidR="006F438E" w:rsidRPr="003073BA">
        <w:rPr>
          <w:lang w:val="uk-UA"/>
        </w:rPr>
        <w:t xml:space="preserve"> 2022 року </w:t>
      </w:r>
      <w:r w:rsidRPr="003073BA">
        <w:rPr>
          <w:lang w:val="uk-UA"/>
        </w:rPr>
        <w:t xml:space="preserve">надходження коштів збільшилось на </w:t>
      </w:r>
      <w:r w:rsidR="00BD7ABB" w:rsidRPr="003073BA">
        <w:rPr>
          <w:lang w:val="uk-UA"/>
        </w:rPr>
        <w:t>47 416,8</w:t>
      </w:r>
      <w:r w:rsidRPr="003073BA">
        <w:rPr>
          <w:lang w:val="uk-UA"/>
        </w:rPr>
        <w:t xml:space="preserve"> тис. грн.</w:t>
      </w:r>
      <w:r w:rsidR="00411762" w:rsidRPr="003073BA">
        <w:rPr>
          <w:lang w:val="uk-UA"/>
        </w:rPr>
        <w:t xml:space="preserve"> Основну частину  зарахувань  до спеціального фонду бюджету Бучанської міської територіальної громади</w:t>
      </w:r>
      <w:r w:rsidR="00002DED" w:rsidRPr="003073BA">
        <w:rPr>
          <w:lang w:val="uk-UA"/>
        </w:rPr>
        <w:t xml:space="preserve"> </w:t>
      </w:r>
      <w:r w:rsidR="00411762" w:rsidRPr="003073BA">
        <w:rPr>
          <w:lang w:val="uk-UA"/>
        </w:rPr>
        <w:t>становить</w:t>
      </w:r>
      <w:r w:rsidR="00411762" w:rsidRPr="003073BA">
        <w:t xml:space="preserve"> </w:t>
      </w:r>
      <w:r w:rsidR="00411762" w:rsidRPr="003073BA">
        <w:rPr>
          <w:lang w:val="uk-UA"/>
        </w:rPr>
        <w:t xml:space="preserve">благодійна допомоги в натуральній формі, що була отримана та поставлена на баланс бюджетними установами </w:t>
      </w:r>
      <w:r w:rsidR="003A55B8" w:rsidRPr="003073BA">
        <w:rPr>
          <w:lang w:val="uk-UA"/>
        </w:rPr>
        <w:t xml:space="preserve">громади </w:t>
      </w:r>
      <w:r w:rsidR="00411762" w:rsidRPr="003073BA">
        <w:rPr>
          <w:lang w:val="uk-UA"/>
        </w:rPr>
        <w:t>від українських та іноземних доброчин</w:t>
      </w:r>
      <w:r w:rsidR="00002DED" w:rsidRPr="003073BA">
        <w:rPr>
          <w:lang w:val="uk-UA"/>
        </w:rPr>
        <w:t>н</w:t>
      </w:r>
      <w:r w:rsidR="00411762" w:rsidRPr="003073BA">
        <w:rPr>
          <w:lang w:val="uk-UA"/>
        </w:rPr>
        <w:t xml:space="preserve">иків. </w:t>
      </w:r>
      <w:r w:rsidR="00002DED" w:rsidRPr="003073BA">
        <w:rPr>
          <w:lang w:val="uk-UA"/>
        </w:rPr>
        <w:t xml:space="preserve">Сума благодійної допомоги у I </w:t>
      </w:r>
      <w:r w:rsidR="00BD7ABB" w:rsidRPr="003073BA">
        <w:rPr>
          <w:lang w:val="uk-UA"/>
        </w:rPr>
        <w:t>півріччі</w:t>
      </w:r>
      <w:r w:rsidR="00002DED" w:rsidRPr="003073BA">
        <w:rPr>
          <w:lang w:val="uk-UA"/>
        </w:rPr>
        <w:t xml:space="preserve"> 2023 року </w:t>
      </w:r>
      <w:r w:rsidR="00BD7ABB" w:rsidRPr="003073BA">
        <w:rPr>
          <w:lang w:val="uk-UA"/>
        </w:rPr>
        <w:t>46 196,4</w:t>
      </w:r>
      <w:r w:rsidR="00002DED" w:rsidRPr="003073BA">
        <w:rPr>
          <w:lang w:val="uk-UA"/>
        </w:rPr>
        <w:t xml:space="preserve"> тис. грн, що на </w:t>
      </w:r>
      <w:r w:rsidR="00BD7ABB" w:rsidRPr="003073BA">
        <w:rPr>
          <w:lang w:val="uk-UA"/>
        </w:rPr>
        <w:t>45 960,3</w:t>
      </w:r>
      <w:r w:rsidR="00002DED" w:rsidRPr="003073BA">
        <w:rPr>
          <w:lang w:val="uk-UA"/>
        </w:rPr>
        <w:t xml:space="preserve"> тис. грн більше ніж у  </w:t>
      </w:r>
      <w:r w:rsidR="003A55B8" w:rsidRPr="003073BA">
        <w:rPr>
          <w:lang w:val="uk-UA"/>
        </w:rPr>
        <w:t xml:space="preserve">було </w:t>
      </w:r>
      <w:r w:rsidR="00002DED" w:rsidRPr="003073BA">
        <w:rPr>
          <w:lang w:val="uk-UA"/>
        </w:rPr>
        <w:t xml:space="preserve">I </w:t>
      </w:r>
      <w:r w:rsidR="00BD7ABB" w:rsidRPr="003073BA">
        <w:rPr>
          <w:lang w:val="uk-UA"/>
        </w:rPr>
        <w:t>піврічч</w:t>
      </w:r>
      <w:r w:rsidR="00002DED" w:rsidRPr="003073BA">
        <w:rPr>
          <w:lang w:val="uk-UA"/>
        </w:rPr>
        <w:t>і 2022 року.</w:t>
      </w:r>
    </w:p>
    <w:p w:rsidR="00982654" w:rsidRPr="003073BA" w:rsidRDefault="00982654" w:rsidP="00FB555B">
      <w:pPr>
        <w:tabs>
          <w:tab w:val="left" w:pos="1530"/>
        </w:tabs>
        <w:ind w:firstLine="567"/>
        <w:jc w:val="both"/>
        <w:rPr>
          <w:lang w:val="uk-UA"/>
        </w:rPr>
      </w:pPr>
      <w:r w:rsidRPr="003073BA">
        <w:rPr>
          <w:lang w:val="uk-UA"/>
        </w:rPr>
        <w:t xml:space="preserve">Надходження коштів до цільового фонду, утвореного Бучанською міською радою, за </w:t>
      </w:r>
      <w:r w:rsidR="001A75F0" w:rsidRPr="003073BA">
        <w:rPr>
          <w:lang w:val="uk-UA"/>
        </w:rPr>
        <w:t xml:space="preserve">I </w:t>
      </w:r>
      <w:r w:rsidR="00C4458A" w:rsidRPr="003073BA">
        <w:rPr>
          <w:lang w:val="uk-UA"/>
        </w:rPr>
        <w:t>півріччя</w:t>
      </w:r>
      <w:r w:rsidR="001A75F0" w:rsidRPr="003073BA">
        <w:rPr>
          <w:lang w:val="uk-UA"/>
        </w:rPr>
        <w:t xml:space="preserve"> 2023 року</w:t>
      </w:r>
      <w:r w:rsidRPr="003073BA">
        <w:rPr>
          <w:lang w:val="uk-UA"/>
        </w:rPr>
        <w:t xml:space="preserve"> рік становить </w:t>
      </w:r>
      <w:r w:rsidR="00C4458A" w:rsidRPr="003073BA">
        <w:rPr>
          <w:lang w:val="uk-UA"/>
        </w:rPr>
        <w:t>1 169,1</w:t>
      </w:r>
      <w:r w:rsidRPr="003073BA">
        <w:rPr>
          <w:lang w:val="uk-UA"/>
        </w:rPr>
        <w:t xml:space="preserve"> тис. грн, що складає </w:t>
      </w:r>
      <w:r w:rsidR="00C4458A" w:rsidRPr="003073BA">
        <w:rPr>
          <w:lang w:val="uk-UA"/>
        </w:rPr>
        <w:t>34,5</w:t>
      </w:r>
      <w:r w:rsidRPr="003073BA">
        <w:rPr>
          <w:lang w:val="uk-UA"/>
        </w:rPr>
        <w:t>% уточненого річного плану на звітний період 202</w:t>
      </w:r>
      <w:r w:rsidR="001A75F0" w:rsidRPr="003073BA">
        <w:rPr>
          <w:lang w:val="uk-UA"/>
        </w:rPr>
        <w:t xml:space="preserve">3 </w:t>
      </w:r>
      <w:r w:rsidRPr="003073BA">
        <w:rPr>
          <w:lang w:val="uk-UA"/>
        </w:rPr>
        <w:t xml:space="preserve">року та на </w:t>
      </w:r>
      <w:r w:rsidR="00C4458A" w:rsidRPr="003073BA">
        <w:rPr>
          <w:lang w:val="uk-UA"/>
        </w:rPr>
        <w:t>223,4</w:t>
      </w:r>
      <w:r w:rsidRPr="003073BA">
        <w:rPr>
          <w:lang w:val="uk-UA"/>
        </w:rPr>
        <w:t xml:space="preserve"> тис. грн </w:t>
      </w:r>
      <w:r w:rsidR="001A75F0" w:rsidRPr="003073BA">
        <w:rPr>
          <w:lang w:val="uk-UA"/>
        </w:rPr>
        <w:t>біль</w:t>
      </w:r>
      <w:r w:rsidRPr="003073BA">
        <w:rPr>
          <w:lang w:val="uk-UA"/>
        </w:rPr>
        <w:t>ше в порівнянні з аналогічним періодом 202</w:t>
      </w:r>
      <w:r w:rsidR="001A75F0" w:rsidRPr="003073BA">
        <w:rPr>
          <w:lang w:val="uk-UA"/>
        </w:rPr>
        <w:t>2</w:t>
      </w:r>
      <w:r w:rsidRPr="003073BA">
        <w:rPr>
          <w:lang w:val="uk-UA"/>
        </w:rPr>
        <w:t xml:space="preserve"> року.</w:t>
      </w:r>
    </w:p>
    <w:p w:rsidR="00982654" w:rsidRPr="003073BA" w:rsidRDefault="00982654" w:rsidP="00FB555B">
      <w:pPr>
        <w:tabs>
          <w:tab w:val="left" w:pos="1530"/>
        </w:tabs>
        <w:ind w:firstLine="567"/>
        <w:jc w:val="both"/>
        <w:rPr>
          <w:lang w:val="uk-UA"/>
        </w:rPr>
      </w:pPr>
    </w:p>
    <w:p w:rsidR="00117239" w:rsidRPr="003073BA" w:rsidRDefault="00117239" w:rsidP="00982654">
      <w:pPr>
        <w:tabs>
          <w:tab w:val="left" w:pos="1530"/>
        </w:tabs>
        <w:ind w:firstLine="900"/>
        <w:jc w:val="center"/>
        <w:rPr>
          <w:b/>
          <w:i/>
          <w:lang w:val="uk-UA"/>
        </w:rPr>
      </w:pPr>
    </w:p>
    <w:p w:rsidR="00982654" w:rsidRPr="003073BA" w:rsidRDefault="00982654" w:rsidP="00982654">
      <w:pPr>
        <w:tabs>
          <w:tab w:val="left" w:pos="1530"/>
        </w:tabs>
        <w:ind w:firstLine="900"/>
        <w:jc w:val="center"/>
        <w:rPr>
          <w:b/>
          <w:i/>
          <w:lang w:val="uk-UA"/>
        </w:rPr>
      </w:pPr>
      <w:r w:rsidRPr="003073BA">
        <w:rPr>
          <w:b/>
          <w:i/>
          <w:lang w:val="uk-UA"/>
        </w:rPr>
        <w:t>МІЖБЮДЖЕТНІ ТРАНСФЕРТИ</w:t>
      </w:r>
    </w:p>
    <w:p w:rsidR="00982654" w:rsidRPr="003073BA" w:rsidRDefault="00982654" w:rsidP="00982654">
      <w:pPr>
        <w:tabs>
          <w:tab w:val="left" w:pos="1530"/>
        </w:tabs>
        <w:ind w:firstLine="900"/>
        <w:jc w:val="center"/>
        <w:rPr>
          <w:b/>
          <w:lang w:val="uk-UA"/>
        </w:rPr>
      </w:pPr>
    </w:p>
    <w:p w:rsidR="00982654" w:rsidRPr="003073BA" w:rsidRDefault="00982654" w:rsidP="00FB555B">
      <w:pPr>
        <w:tabs>
          <w:tab w:val="left" w:pos="567"/>
        </w:tabs>
        <w:ind w:firstLine="567"/>
        <w:jc w:val="both"/>
        <w:rPr>
          <w:lang w:val="uk-UA"/>
        </w:rPr>
      </w:pPr>
      <w:r w:rsidRPr="003073BA">
        <w:rPr>
          <w:lang w:val="uk-UA"/>
        </w:rPr>
        <w:t xml:space="preserve">За </w:t>
      </w:r>
      <w:r w:rsidR="0012543B" w:rsidRPr="003073BA">
        <w:rPr>
          <w:lang w:val="uk-UA"/>
        </w:rPr>
        <w:t xml:space="preserve">I </w:t>
      </w:r>
      <w:r w:rsidR="00975390" w:rsidRPr="003073BA">
        <w:rPr>
          <w:lang w:val="uk-UA"/>
        </w:rPr>
        <w:t>півріччя</w:t>
      </w:r>
      <w:r w:rsidR="0012543B" w:rsidRPr="003073BA">
        <w:rPr>
          <w:lang w:val="uk-UA"/>
        </w:rPr>
        <w:t xml:space="preserve"> 2023 року </w:t>
      </w:r>
      <w:r w:rsidRPr="003073BA">
        <w:rPr>
          <w:lang w:val="uk-UA"/>
        </w:rPr>
        <w:t xml:space="preserve">до бюджету Бучанської міської територіальної громади надійшло </w:t>
      </w:r>
      <w:r w:rsidR="00975390" w:rsidRPr="003073BA">
        <w:rPr>
          <w:lang w:val="uk-UA"/>
        </w:rPr>
        <w:t>277 743,5</w:t>
      </w:r>
      <w:r w:rsidRPr="003073BA">
        <w:rPr>
          <w:lang w:val="uk-UA"/>
        </w:rPr>
        <w:t xml:space="preserve"> тис. грн офіційних трансфертів з бюджетів різних рівнів. </w:t>
      </w:r>
      <w:r w:rsidR="0012543B" w:rsidRPr="003073BA">
        <w:rPr>
          <w:lang w:val="uk-UA"/>
        </w:rPr>
        <w:t xml:space="preserve">Порівняно з I </w:t>
      </w:r>
      <w:r w:rsidR="00975390" w:rsidRPr="003073BA">
        <w:rPr>
          <w:lang w:val="uk-UA"/>
        </w:rPr>
        <w:t>півріччям</w:t>
      </w:r>
      <w:r w:rsidR="0012543B" w:rsidRPr="003073BA">
        <w:rPr>
          <w:lang w:val="uk-UA"/>
        </w:rPr>
        <w:t xml:space="preserve"> 2022 року надходження трансфертів збільшилось на </w:t>
      </w:r>
      <w:r w:rsidR="00975390" w:rsidRPr="003073BA">
        <w:rPr>
          <w:lang w:val="uk-UA"/>
        </w:rPr>
        <w:t>153 423,7</w:t>
      </w:r>
      <w:r w:rsidR="0012543B" w:rsidRPr="003073BA">
        <w:rPr>
          <w:lang w:val="uk-UA"/>
        </w:rPr>
        <w:t xml:space="preserve"> тис. грн, що становить </w:t>
      </w:r>
      <w:r w:rsidR="00975390" w:rsidRPr="003073BA">
        <w:rPr>
          <w:lang w:val="uk-UA"/>
        </w:rPr>
        <w:t>223,4</w:t>
      </w:r>
      <w:r w:rsidR="0012543B" w:rsidRPr="003073BA">
        <w:rPr>
          <w:lang w:val="uk-UA"/>
        </w:rPr>
        <w:t>%.</w:t>
      </w:r>
    </w:p>
    <w:p w:rsidR="00982654" w:rsidRPr="003073BA" w:rsidRDefault="00982654" w:rsidP="00FB555B">
      <w:pPr>
        <w:tabs>
          <w:tab w:val="left" w:pos="567"/>
        </w:tabs>
        <w:ind w:firstLine="567"/>
        <w:jc w:val="both"/>
        <w:rPr>
          <w:lang w:val="uk-UA"/>
        </w:rPr>
      </w:pPr>
      <w:r w:rsidRPr="003073BA">
        <w:rPr>
          <w:lang w:val="uk-UA"/>
        </w:rPr>
        <w:t>В тому числі;</w:t>
      </w:r>
    </w:p>
    <w:p w:rsidR="00982654" w:rsidRPr="003073BA" w:rsidRDefault="00982654" w:rsidP="00FB555B">
      <w:pPr>
        <w:tabs>
          <w:tab w:val="left" w:pos="567"/>
        </w:tabs>
        <w:ind w:firstLine="567"/>
        <w:jc w:val="both"/>
        <w:rPr>
          <w:lang w:val="uk-UA"/>
        </w:rPr>
      </w:pPr>
      <w:r w:rsidRPr="003073BA">
        <w:rPr>
          <w:lang w:val="uk-UA"/>
        </w:rPr>
        <w:t xml:space="preserve">- до загального фонду бюджету громади </w:t>
      </w:r>
      <w:r w:rsidR="0012543B" w:rsidRPr="003073BA">
        <w:rPr>
          <w:lang w:val="uk-UA"/>
        </w:rPr>
        <w:t xml:space="preserve">надійшло </w:t>
      </w:r>
      <w:r w:rsidR="00975390" w:rsidRPr="003073BA">
        <w:rPr>
          <w:lang w:val="uk-UA"/>
        </w:rPr>
        <w:t xml:space="preserve">277 743,5 </w:t>
      </w:r>
      <w:r w:rsidRPr="003073BA">
        <w:rPr>
          <w:lang w:val="uk-UA"/>
        </w:rPr>
        <w:t>тис. грн;</w:t>
      </w:r>
    </w:p>
    <w:p w:rsidR="00982654" w:rsidRPr="003073BA" w:rsidRDefault="00982654" w:rsidP="00FB555B">
      <w:pPr>
        <w:tabs>
          <w:tab w:val="left" w:pos="567"/>
        </w:tabs>
        <w:ind w:firstLine="567"/>
        <w:jc w:val="both"/>
        <w:rPr>
          <w:lang w:val="uk-UA"/>
        </w:rPr>
      </w:pPr>
      <w:r w:rsidRPr="003073BA">
        <w:rPr>
          <w:lang w:val="uk-UA"/>
        </w:rPr>
        <w:t xml:space="preserve">- до спеціального фонду </w:t>
      </w:r>
      <w:r w:rsidR="00155BD2" w:rsidRPr="003073BA">
        <w:rPr>
          <w:lang w:val="uk-UA"/>
        </w:rPr>
        <w:t>0,0</w:t>
      </w:r>
      <w:r w:rsidRPr="003073BA">
        <w:rPr>
          <w:lang w:val="uk-UA"/>
        </w:rPr>
        <w:t xml:space="preserve"> тис. грн.</w:t>
      </w:r>
    </w:p>
    <w:p w:rsidR="002A0DC8" w:rsidRPr="003073BA" w:rsidRDefault="002A0DC8" w:rsidP="002A0DC8">
      <w:pPr>
        <w:tabs>
          <w:tab w:val="left" w:pos="567"/>
        </w:tabs>
        <w:ind w:firstLine="567"/>
        <w:jc w:val="both"/>
        <w:rPr>
          <w:lang w:val="uk-UA"/>
        </w:rPr>
      </w:pPr>
      <w:r w:rsidRPr="003073BA">
        <w:rPr>
          <w:lang w:val="uk-UA"/>
        </w:rPr>
        <w:t>А саме:</w:t>
      </w:r>
    </w:p>
    <w:p w:rsidR="002A0DC8" w:rsidRPr="003073BA" w:rsidRDefault="00C20F2C" w:rsidP="00C20F2C">
      <w:pPr>
        <w:tabs>
          <w:tab w:val="left" w:pos="567"/>
        </w:tabs>
        <w:ind w:firstLine="426"/>
        <w:jc w:val="both"/>
        <w:rPr>
          <w:lang w:val="uk-UA"/>
        </w:rPr>
      </w:pPr>
      <w:r w:rsidRPr="003073BA">
        <w:rPr>
          <w:lang w:val="uk-UA"/>
        </w:rPr>
        <w:t xml:space="preserve">- </w:t>
      </w:r>
      <w:r w:rsidR="002A0DC8" w:rsidRPr="003073BA">
        <w:rPr>
          <w:lang w:val="uk-UA"/>
        </w:rPr>
        <w:t xml:space="preserve">базова дотація з державного бюджету за </w:t>
      </w:r>
      <w:r w:rsidR="0012543B" w:rsidRPr="003073BA">
        <w:rPr>
          <w:lang w:val="uk-UA"/>
        </w:rPr>
        <w:t xml:space="preserve">I </w:t>
      </w:r>
      <w:r w:rsidR="00975390" w:rsidRPr="003073BA">
        <w:rPr>
          <w:lang w:val="uk-UA"/>
        </w:rPr>
        <w:t>півріччя</w:t>
      </w:r>
      <w:r w:rsidR="0012543B" w:rsidRPr="003073BA">
        <w:rPr>
          <w:lang w:val="uk-UA"/>
        </w:rPr>
        <w:t xml:space="preserve"> 2023 року</w:t>
      </w:r>
      <w:r w:rsidR="002A0DC8" w:rsidRPr="003073BA">
        <w:rPr>
          <w:lang w:val="uk-UA"/>
        </w:rPr>
        <w:t xml:space="preserve"> становить </w:t>
      </w:r>
      <w:r w:rsidR="00AD6C0D" w:rsidRPr="003073BA">
        <w:rPr>
          <w:lang w:val="uk-UA"/>
        </w:rPr>
        <w:t>16 581,0</w:t>
      </w:r>
      <w:r w:rsidR="002A0DC8" w:rsidRPr="003073BA">
        <w:rPr>
          <w:lang w:val="uk-UA"/>
        </w:rPr>
        <w:t xml:space="preserve"> тис. грн, що на </w:t>
      </w:r>
      <w:r w:rsidR="00AD6C0D" w:rsidRPr="003073BA">
        <w:rPr>
          <w:lang w:val="uk-UA"/>
        </w:rPr>
        <w:t>7 377,6</w:t>
      </w:r>
      <w:r w:rsidR="002A0DC8" w:rsidRPr="003073BA">
        <w:rPr>
          <w:lang w:val="uk-UA"/>
        </w:rPr>
        <w:t xml:space="preserve"> тис. грн  більше ніж надійшло за </w:t>
      </w:r>
      <w:r w:rsidR="0012543B" w:rsidRPr="003073BA">
        <w:rPr>
          <w:lang w:val="uk-UA"/>
        </w:rPr>
        <w:t xml:space="preserve">відповідний період </w:t>
      </w:r>
      <w:r w:rsidR="002A0DC8" w:rsidRPr="003073BA">
        <w:rPr>
          <w:lang w:val="uk-UA"/>
        </w:rPr>
        <w:t>202</w:t>
      </w:r>
      <w:r w:rsidR="0012543B" w:rsidRPr="003073BA">
        <w:rPr>
          <w:lang w:val="uk-UA"/>
        </w:rPr>
        <w:t>2</w:t>
      </w:r>
      <w:r w:rsidR="002A0DC8" w:rsidRPr="003073BA">
        <w:rPr>
          <w:lang w:val="uk-UA"/>
        </w:rPr>
        <w:t xml:space="preserve"> р</w:t>
      </w:r>
      <w:r w:rsidR="0012543B" w:rsidRPr="003073BA">
        <w:rPr>
          <w:lang w:val="uk-UA"/>
        </w:rPr>
        <w:t>оку</w:t>
      </w:r>
      <w:r w:rsidR="002A0DC8" w:rsidRPr="003073BA">
        <w:rPr>
          <w:lang w:val="uk-UA"/>
        </w:rPr>
        <w:t xml:space="preserve">, темп росту складає </w:t>
      </w:r>
      <w:r w:rsidR="0012543B" w:rsidRPr="003073BA">
        <w:rPr>
          <w:lang w:val="uk-UA"/>
        </w:rPr>
        <w:t>180,</w:t>
      </w:r>
      <w:r w:rsidR="00AD6C0D" w:rsidRPr="003073BA">
        <w:rPr>
          <w:lang w:val="uk-UA"/>
        </w:rPr>
        <w:t>2</w:t>
      </w:r>
      <w:r w:rsidR="002A0DC8" w:rsidRPr="003073BA">
        <w:rPr>
          <w:lang w:val="uk-UA"/>
        </w:rPr>
        <w:t>%;</w:t>
      </w:r>
    </w:p>
    <w:p w:rsidR="00C20F2C" w:rsidRPr="003073BA" w:rsidRDefault="00C20F2C" w:rsidP="00C20F2C">
      <w:pPr>
        <w:tabs>
          <w:tab w:val="left" w:pos="567"/>
        </w:tabs>
        <w:ind w:firstLine="426"/>
        <w:jc w:val="both"/>
        <w:rPr>
          <w:lang w:val="uk-UA"/>
        </w:rPr>
      </w:pPr>
      <w:r w:rsidRPr="003073BA">
        <w:rPr>
          <w:lang w:val="uk-UA"/>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w:t>
      </w:r>
      <w:r w:rsidR="00AD6C0D" w:rsidRPr="003073BA">
        <w:rPr>
          <w:lang w:val="uk-UA"/>
        </w:rPr>
        <w:t>16 267,6</w:t>
      </w:r>
      <w:r w:rsidRPr="003073BA">
        <w:rPr>
          <w:lang w:val="uk-UA"/>
        </w:rPr>
        <w:t xml:space="preserve"> тис.</w:t>
      </w:r>
      <w:r w:rsidR="007871D4" w:rsidRPr="003073BA">
        <w:rPr>
          <w:lang w:val="uk-UA"/>
        </w:rPr>
        <w:t xml:space="preserve"> </w:t>
      </w:r>
      <w:r w:rsidRPr="003073BA">
        <w:rPr>
          <w:lang w:val="uk-UA"/>
        </w:rPr>
        <w:t>грн;</w:t>
      </w:r>
    </w:p>
    <w:p w:rsidR="00750BE9" w:rsidRPr="003073BA" w:rsidRDefault="00750BE9" w:rsidP="00C20F2C">
      <w:pPr>
        <w:tabs>
          <w:tab w:val="left" w:pos="567"/>
        </w:tabs>
        <w:ind w:firstLine="426"/>
        <w:jc w:val="both"/>
        <w:rPr>
          <w:lang w:val="uk-UA"/>
        </w:rPr>
      </w:pPr>
      <w:r w:rsidRPr="003073BA">
        <w:rPr>
          <w:lang w:val="uk-UA"/>
        </w:rPr>
        <w:t>- освітня субвенція з державного бюджету місцевим бюджетам</w:t>
      </w:r>
      <w:r w:rsidRPr="00B65DCB">
        <w:rPr>
          <w:lang w:val="uk-UA"/>
        </w:rPr>
        <w:t xml:space="preserve"> </w:t>
      </w:r>
      <w:r w:rsidRPr="003073BA">
        <w:rPr>
          <w:lang w:val="uk-UA"/>
        </w:rPr>
        <w:t xml:space="preserve">за I </w:t>
      </w:r>
      <w:r w:rsidR="00AD6C0D" w:rsidRPr="003073BA">
        <w:rPr>
          <w:lang w:val="uk-UA"/>
        </w:rPr>
        <w:t>півріччя</w:t>
      </w:r>
      <w:r w:rsidRPr="003073BA">
        <w:rPr>
          <w:lang w:val="uk-UA"/>
        </w:rPr>
        <w:t xml:space="preserve"> 2023 року рік становить </w:t>
      </w:r>
      <w:r w:rsidR="00AD6C0D" w:rsidRPr="003073BA">
        <w:rPr>
          <w:lang w:val="uk-UA"/>
        </w:rPr>
        <w:t>93 790,0</w:t>
      </w:r>
      <w:r w:rsidRPr="003073BA">
        <w:rPr>
          <w:lang w:val="uk-UA"/>
        </w:rPr>
        <w:t xml:space="preserve"> тис. грн, що на </w:t>
      </w:r>
      <w:r w:rsidR="00AD6C0D" w:rsidRPr="003073BA">
        <w:rPr>
          <w:lang w:val="uk-UA"/>
        </w:rPr>
        <w:t>9 323,7</w:t>
      </w:r>
      <w:r w:rsidRPr="003073BA">
        <w:rPr>
          <w:lang w:val="uk-UA"/>
        </w:rPr>
        <w:t xml:space="preserve"> тис. грн  менше ніж надійшло за відповідний період 2022 року, та складає </w:t>
      </w:r>
      <w:r w:rsidR="00AD6C0D" w:rsidRPr="003073BA">
        <w:rPr>
          <w:lang w:val="uk-UA"/>
        </w:rPr>
        <w:t>91,0</w:t>
      </w:r>
      <w:r w:rsidRPr="003073BA">
        <w:rPr>
          <w:lang w:val="uk-UA"/>
        </w:rPr>
        <w:t>% від надходжень минулого звітного періоду;</w:t>
      </w:r>
    </w:p>
    <w:p w:rsidR="002C7242" w:rsidRPr="003073BA" w:rsidRDefault="002C7242" w:rsidP="00C20F2C">
      <w:pPr>
        <w:tabs>
          <w:tab w:val="left" w:pos="567"/>
        </w:tabs>
        <w:ind w:firstLine="426"/>
        <w:jc w:val="both"/>
        <w:rPr>
          <w:lang w:val="uk-UA"/>
        </w:rPr>
      </w:pPr>
      <w:r w:rsidRPr="003073BA">
        <w:rPr>
          <w:lang w:val="uk-UA"/>
        </w:rPr>
        <w:t>- надходження дотацій від інши</w:t>
      </w:r>
      <w:r w:rsidR="005F4BAE" w:rsidRPr="003073BA">
        <w:rPr>
          <w:lang w:val="uk-UA"/>
        </w:rPr>
        <w:t>х</w:t>
      </w:r>
      <w:r w:rsidRPr="003073BA">
        <w:rPr>
          <w:lang w:val="uk-UA"/>
        </w:rPr>
        <w:t xml:space="preserve"> місцевих бюджетів складає </w:t>
      </w:r>
      <w:r w:rsidR="005F4BAE" w:rsidRPr="003073BA">
        <w:rPr>
          <w:lang w:val="uk-UA"/>
        </w:rPr>
        <w:t>2 019,6</w:t>
      </w:r>
      <w:r w:rsidRPr="003073BA">
        <w:rPr>
          <w:lang w:val="uk-UA"/>
        </w:rPr>
        <w:t xml:space="preserve"> тис. грн, що на </w:t>
      </w:r>
      <w:r w:rsidR="005F4BAE" w:rsidRPr="003073BA">
        <w:rPr>
          <w:lang w:val="uk-UA"/>
        </w:rPr>
        <w:t>4 642,6</w:t>
      </w:r>
      <w:r w:rsidRPr="003073BA">
        <w:rPr>
          <w:lang w:val="uk-UA"/>
        </w:rPr>
        <w:t xml:space="preserve"> тис. грн менше ніж було в аналогічному періоді минулого року;</w:t>
      </w:r>
    </w:p>
    <w:p w:rsidR="002A0DC8" w:rsidRPr="003073BA" w:rsidRDefault="008B0D1E" w:rsidP="008B0D1E">
      <w:pPr>
        <w:tabs>
          <w:tab w:val="left" w:pos="567"/>
        </w:tabs>
        <w:ind w:firstLine="426"/>
        <w:jc w:val="both"/>
        <w:rPr>
          <w:lang w:val="uk-UA"/>
        </w:rPr>
      </w:pPr>
      <w:r w:rsidRPr="003073BA">
        <w:rPr>
          <w:lang w:val="uk-UA"/>
        </w:rPr>
        <w:t xml:space="preserve">- </w:t>
      </w:r>
      <w:r w:rsidR="002A0DC8" w:rsidRPr="003073BA">
        <w:rPr>
          <w:lang w:val="uk-UA"/>
        </w:rPr>
        <w:t xml:space="preserve">надходження </w:t>
      </w:r>
      <w:r w:rsidRPr="003073BA">
        <w:rPr>
          <w:lang w:val="uk-UA"/>
        </w:rPr>
        <w:t>субвенцій з інших місцевих бюджетів</w:t>
      </w:r>
      <w:r w:rsidR="00E96F8C" w:rsidRPr="003073BA">
        <w:rPr>
          <w:lang w:val="uk-UA"/>
        </w:rPr>
        <w:t>, а саме з бюджету Київської області,</w:t>
      </w:r>
      <w:r w:rsidR="002A0DC8" w:rsidRPr="003073BA">
        <w:rPr>
          <w:lang w:val="uk-UA"/>
        </w:rPr>
        <w:t xml:space="preserve"> за </w:t>
      </w:r>
      <w:r w:rsidR="002C7242" w:rsidRPr="003073BA">
        <w:rPr>
          <w:lang w:val="uk-UA"/>
        </w:rPr>
        <w:t xml:space="preserve">I </w:t>
      </w:r>
      <w:r w:rsidR="00236909" w:rsidRPr="003073BA">
        <w:rPr>
          <w:lang w:val="uk-UA"/>
        </w:rPr>
        <w:t>півріччя</w:t>
      </w:r>
      <w:r w:rsidR="002C7242" w:rsidRPr="003073BA">
        <w:rPr>
          <w:lang w:val="uk-UA"/>
        </w:rPr>
        <w:t xml:space="preserve"> 2023 року </w:t>
      </w:r>
      <w:r w:rsidR="00236909" w:rsidRPr="003073BA">
        <w:rPr>
          <w:lang w:val="uk-UA"/>
        </w:rPr>
        <w:t>149 084,4</w:t>
      </w:r>
      <w:r w:rsidR="002A0DC8" w:rsidRPr="003073BA">
        <w:rPr>
          <w:lang w:val="uk-UA"/>
        </w:rPr>
        <w:t xml:space="preserve"> тис. грн, що на </w:t>
      </w:r>
      <w:r w:rsidR="00236909" w:rsidRPr="003073BA">
        <w:rPr>
          <w:lang w:val="uk-UA"/>
        </w:rPr>
        <w:t>143 744,8</w:t>
      </w:r>
      <w:r w:rsidR="002A0DC8" w:rsidRPr="003073BA">
        <w:rPr>
          <w:lang w:val="uk-UA"/>
        </w:rPr>
        <w:t xml:space="preserve"> тис. грн більше аналогічних надходжень 202</w:t>
      </w:r>
      <w:r w:rsidRPr="003073BA">
        <w:rPr>
          <w:lang w:val="uk-UA"/>
        </w:rPr>
        <w:t>2</w:t>
      </w:r>
      <w:r w:rsidR="002A0DC8" w:rsidRPr="003073BA">
        <w:rPr>
          <w:lang w:val="uk-UA"/>
        </w:rPr>
        <w:t xml:space="preserve"> року.</w:t>
      </w:r>
    </w:p>
    <w:p w:rsidR="00F6596A" w:rsidRPr="003073BA" w:rsidRDefault="00F6596A" w:rsidP="002A0DC8">
      <w:pPr>
        <w:tabs>
          <w:tab w:val="left" w:pos="567"/>
        </w:tabs>
        <w:ind w:firstLine="567"/>
        <w:jc w:val="both"/>
        <w:rPr>
          <w:b/>
          <w:lang w:val="uk-UA"/>
        </w:rPr>
      </w:pPr>
    </w:p>
    <w:sectPr w:rsidR="00F6596A" w:rsidRPr="003073BA" w:rsidSect="00750CF4">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FB4" w:rsidRDefault="00E63FB4" w:rsidP="000B5FDB">
      <w:r>
        <w:separator/>
      </w:r>
    </w:p>
  </w:endnote>
  <w:endnote w:type="continuationSeparator" w:id="0">
    <w:p w:rsidR="00E63FB4" w:rsidRDefault="00E63FB4"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FB4" w:rsidRDefault="00E63FB4" w:rsidP="000B5FDB">
      <w:r>
        <w:separator/>
      </w:r>
    </w:p>
  </w:footnote>
  <w:footnote w:type="continuationSeparator" w:id="0">
    <w:p w:rsidR="00E63FB4" w:rsidRDefault="00E63FB4"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CE"/>
    <w:rsid w:val="000110BD"/>
    <w:rsid w:val="00012400"/>
    <w:rsid w:val="0001263A"/>
    <w:rsid w:val="00012882"/>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4CE"/>
    <w:rsid w:val="0007452C"/>
    <w:rsid w:val="0007475A"/>
    <w:rsid w:val="00074C48"/>
    <w:rsid w:val="00074DAB"/>
    <w:rsid w:val="00074DE9"/>
    <w:rsid w:val="00075187"/>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AC9"/>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B0D"/>
    <w:rsid w:val="000B5B88"/>
    <w:rsid w:val="000B5C4F"/>
    <w:rsid w:val="000B5CA6"/>
    <w:rsid w:val="000B5FDB"/>
    <w:rsid w:val="000B61D1"/>
    <w:rsid w:val="000B6C9B"/>
    <w:rsid w:val="000B6CB2"/>
    <w:rsid w:val="000B6E68"/>
    <w:rsid w:val="000B7595"/>
    <w:rsid w:val="000B7812"/>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8C"/>
    <w:rsid w:val="000C39A5"/>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269F"/>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6FE7"/>
    <w:rsid w:val="000E7119"/>
    <w:rsid w:val="000E7779"/>
    <w:rsid w:val="000E796F"/>
    <w:rsid w:val="000E7A30"/>
    <w:rsid w:val="000E7CD3"/>
    <w:rsid w:val="000F01E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34C8"/>
    <w:rsid w:val="001040DE"/>
    <w:rsid w:val="00104458"/>
    <w:rsid w:val="0010478F"/>
    <w:rsid w:val="00104B65"/>
    <w:rsid w:val="00105041"/>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AB7"/>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6F6"/>
    <w:rsid w:val="0012073B"/>
    <w:rsid w:val="00120D17"/>
    <w:rsid w:val="00120DA2"/>
    <w:rsid w:val="00121A08"/>
    <w:rsid w:val="0012242F"/>
    <w:rsid w:val="0012294C"/>
    <w:rsid w:val="00122E8E"/>
    <w:rsid w:val="0012360D"/>
    <w:rsid w:val="00123BB2"/>
    <w:rsid w:val="001241AF"/>
    <w:rsid w:val="00124439"/>
    <w:rsid w:val="0012448A"/>
    <w:rsid w:val="0012468F"/>
    <w:rsid w:val="00124734"/>
    <w:rsid w:val="00124FFD"/>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0FC1"/>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B4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900"/>
    <w:rsid w:val="00177A59"/>
    <w:rsid w:val="00177DEA"/>
    <w:rsid w:val="00177E61"/>
    <w:rsid w:val="00180052"/>
    <w:rsid w:val="00180330"/>
    <w:rsid w:val="00180CF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112"/>
    <w:rsid w:val="00206253"/>
    <w:rsid w:val="00206A7B"/>
    <w:rsid w:val="00206A8F"/>
    <w:rsid w:val="002070EE"/>
    <w:rsid w:val="002075C6"/>
    <w:rsid w:val="00207B02"/>
    <w:rsid w:val="00207F17"/>
    <w:rsid w:val="00207F40"/>
    <w:rsid w:val="00210172"/>
    <w:rsid w:val="002106DF"/>
    <w:rsid w:val="002108D2"/>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918"/>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7043"/>
    <w:rsid w:val="002375DC"/>
    <w:rsid w:val="002375DE"/>
    <w:rsid w:val="002378D2"/>
    <w:rsid w:val="00237E14"/>
    <w:rsid w:val="00240147"/>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B78"/>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EC2"/>
    <w:rsid w:val="00286024"/>
    <w:rsid w:val="00286B7F"/>
    <w:rsid w:val="00286EA2"/>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97F4A"/>
    <w:rsid w:val="002A0267"/>
    <w:rsid w:val="002A05EF"/>
    <w:rsid w:val="002A0680"/>
    <w:rsid w:val="002A07FB"/>
    <w:rsid w:val="002A08FA"/>
    <w:rsid w:val="002A0BEB"/>
    <w:rsid w:val="002A0DC8"/>
    <w:rsid w:val="002A10C2"/>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335"/>
    <w:rsid w:val="002A6842"/>
    <w:rsid w:val="002A6CC4"/>
    <w:rsid w:val="002A6EE7"/>
    <w:rsid w:val="002A71DB"/>
    <w:rsid w:val="002A7336"/>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4CB9"/>
    <w:rsid w:val="002C6418"/>
    <w:rsid w:val="002C7078"/>
    <w:rsid w:val="002C7242"/>
    <w:rsid w:val="002C78C4"/>
    <w:rsid w:val="002C7CD3"/>
    <w:rsid w:val="002D05B9"/>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CB2"/>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E36"/>
    <w:rsid w:val="002F5F14"/>
    <w:rsid w:val="002F61E4"/>
    <w:rsid w:val="002F6256"/>
    <w:rsid w:val="002F641F"/>
    <w:rsid w:val="002F6651"/>
    <w:rsid w:val="002F68E5"/>
    <w:rsid w:val="002F6A51"/>
    <w:rsid w:val="002F72AA"/>
    <w:rsid w:val="002F7482"/>
    <w:rsid w:val="002F7583"/>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35C"/>
    <w:rsid w:val="00306667"/>
    <w:rsid w:val="00306A41"/>
    <w:rsid w:val="00306BD5"/>
    <w:rsid w:val="00306EFD"/>
    <w:rsid w:val="003073BA"/>
    <w:rsid w:val="0030797D"/>
    <w:rsid w:val="00307C69"/>
    <w:rsid w:val="00307F06"/>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AC0"/>
    <w:rsid w:val="00371DD7"/>
    <w:rsid w:val="003723D0"/>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C42"/>
    <w:rsid w:val="00390D3F"/>
    <w:rsid w:val="00390E19"/>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762"/>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F54"/>
    <w:rsid w:val="00421048"/>
    <w:rsid w:val="0042138E"/>
    <w:rsid w:val="00421646"/>
    <w:rsid w:val="004220D9"/>
    <w:rsid w:val="004220FC"/>
    <w:rsid w:val="00422276"/>
    <w:rsid w:val="004222A5"/>
    <w:rsid w:val="00422343"/>
    <w:rsid w:val="004223D2"/>
    <w:rsid w:val="004227E5"/>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BEB"/>
    <w:rsid w:val="004842E8"/>
    <w:rsid w:val="00484FCE"/>
    <w:rsid w:val="0048519C"/>
    <w:rsid w:val="004857B1"/>
    <w:rsid w:val="00485E05"/>
    <w:rsid w:val="00485F4E"/>
    <w:rsid w:val="004868B3"/>
    <w:rsid w:val="00486B09"/>
    <w:rsid w:val="004874A1"/>
    <w:rsid w:val="00487818"/>
    <w:rsid w:val="0048785A"/>
    <w:rsid w:val="00487957"/>
    <w:rsid w:val="00487C09"/>
    <w:rsid w:val="0049110F"/>
    <w:rsid w:val="00492002"/>
    <w:rsid w:val="004923B1"/>
    <w:rsid w:val="00492432"/>
    <w:rsid w:val="00492575"/>
    <w:rsid w:val="0049294C"/>
    <w:rsid w:val="0049295C"/>
    <w:rsid w:val="00492B33"/>
    <w:rsid w:val="00492BFD"/>
    <w:rsid w:val="00492D7D"/>
    <w:rsid w:val="00493C5E"/>
    <w:rsid w:val="00493DA7"/>
    <w:rsid w:val="00494392"/>
    <w:rsid w:val="00494D2B"/>
    <w:rsid w:val="0049572A"/>
    <w:rsid w:val="00497B83"/>
    <w:rsid w:val="00497CB2"/>
    <w:rsid w:val="00497CC8"/>
    <w:rsid w:val="004A01A7"/>
    <w:rsid w:val="004A04AE"/>
    <w:rsid w:val="004A04DE"/>
    <w:rsid w:val="004A0786"/>
    <w:rsid w:val="004A1122"/>
    <w:rsid w:val="004A1398"/>
    <w:rsid w:val="004A13F6"/>
    <w:rsid w:val="004A1832"/>
    <w:rsid w:val="004A1A9E"/>
    <w:rsid w:val="004A1ADE"/>
    <w:rsid w:val="004A1CD8"/>
    <w:rsid w:val="004A1DA7"/>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7FA"/>
    <w:rsid w:val="004C0B70"/>
    <w:rsid w:val="004C0C6B"/>
    <w:rsid w:val="004C134A"/>
    <w:rsid w:val="004C1382"/>
    <w:rsid w:val="004C19CA"/>
    <w:rsid w:val="004C19F6"/>
    <w:rsid w:val="004C1DF5"/>
    <w:rsid w:val="004C23E8"/>
    <w:rsid w:val="004C2503"/>
    <w:rsid w:val="004C2DC6"/>
    <w:rsid w:val="004C2FBF"/>
    <w:rsid w:val="004C3042"/>
    <w:rsid w:val="004C323E"/>
    <w:rsid w:val="004C3495"/>
    <w:rsid w:val="004C4033"/>
    <w:rsid w:val="004C43E9"/>
    <w:rsid w:val="004C44BC"/>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945"/>
    <w:rsid w:val="004F0C2F"/>
    <w:rsid w:val="004F0C41"/>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27A"/>
    <w:rsid w:val="00515397"/>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0FA"/>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D5"/>
    <w:rsid w:val="005F188C"/>
    <w:rsid w:val="005F1911"/>
    <w:rsid w:val="005F1E73"/>
    <w:rsid w:val="005F2C07"/>
    <w:rsid w:val="005F2EAC"/>
    <w:rsid w:val="005F350D"/>
    <w:rsid w:val="005F38ED"/>
    <w:rsid w:val="005F3947"/>
    <w:rsid w:val="005F3FF6"/>
    <w:rsid w:val="005F42DC"/>
    <w:rsid w:val="005F4BAE"/>
    <w:rsid w:val="005F4BF3"/>
    <w:rsid w:val="005F5652"/>
    <w:rsid w:val="005F59B3"/>
    <w:rsid w:val="005F59E7"/>
    <w:rsid w:val="005F5B3C"/>
    <w:rsid w:val="005F5C95"/>
    <w:rsid w:val="005F6190"/>
    <w:rsid w:val="005F63BD"/>
    <w:rsid w:val="005F641F"/>
    <w:rsid w:val="005F712E"/>
    <w:rsid w:val="005F769E"/>
    <w:rsid w:val="005F774F"/>
    <w:rsid w:val="00600B52"/>
    <w:rsid w:val="00600B6A"/>
    <w:rsid w:val="00600E2C"/>
    <w:rsid w:val="006010AA"/>
    <w:rsid w:val="00601A3F"/>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2655"/>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51E2"/>
    <w:rsid w:val="00665381"/>
    <w:rsid w:val="00665463"/>
    <w:rsid w:val="006654D7"/>
    <w:rsid w:val="006657FC"/>
    <w:rsid w:val="00665C0F"/>
    <w:rsid w:val="00665F3A"/>
    <w:rsid w:val="0066695E"/>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39E5"/>
    <w:rsid w:val="006740DF"/>
    <w:rsid w:val="00674250"/>
    <w:rsid w:val="00676036"/>
    <w:rsid w:val="006761CA"/>
    <w:rsid w:val="0067622B"/>
    <w:rsid w:val="006765CE"/>
    <w:rsid w:val="006768CD"/>
    <w:rsid w:val="00677263"/>
    <w:rsid w:val="00677390"/>
    <w:rsid w:val="00677A68"/>
    <w:rsid w:val="00677A97"/>
    <w:rsid w:val="006802C4"/>
    <w:rsid w:val="00680472"/>
    <w:rsid w:val="00681570"/>
    <w:rsid w:val="006819D9"/>
    <w:rsid w:val="00681BE1"/>
    <w:rsid w:val="00681E84"/>
    <w:rsid w:val="00682422"/>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03"/>
    <w:rsid w:val="00686685"/>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97BF3"/>
    <w:rsid w:val="006A01D0"/>
    <w:rsid w:val="006A026F"/>
    <w:rsid w:val="006A0849"/>
    <w:rsid w:val="006A08AB"/>
    <w:rsid w:val="006A0A50"/>
    <w:rsid w:val="006A0CCD"/>
    <w:rsid w:val="006A0DC6"/>
    <w:rsid w:val="006A1005"/>
    <w:rsid w:val="006A1634"/>
    <w:rsid w:val="006A1872"/>
    <w:rsid w:val="006A1DC5"/>
    <w:rsid w:val="006A22BC"/>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8D9"/>
    <w:rsid w:val="006B69DD"/>
    <w:rsid w:val="006B6E71"/>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1421"/>
    <w:rsid w:val="006E183B"/>
    <w:rsid w:val="006E1883"/>
    <w:rsid w:val="006E20F5"/>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636B"/>
    <w:rsid w:val="00706A3A"/>
    <w:rsid w:val="00706A76"/>
    <w:rsid w:val="00706BD7"/>
    <w:rsid w:val="00706C86"/>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4ED"/>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6D5"/>
    <w:rsid w:val="00752C80"/>
    <w:rsid w:val="0075326D"/>
    <w:rsid w:val="00753578"/>
    <w:rsid w:val="0075397F"/>
    <w:rsid w:val="00753C55"/>
    <w:rsid w:val="00753F14"/>
    <w:rsid w:val="007543C6"/>
    <w:rsid w:val="00754F97"/>
    <w:rsid w:val="007550F5"/>
    <w:rsid w:val="00755592"/>
    <w:rsid w:val="0075563E"/>
    <w:rsid w:val="00755ED3"/>
    <w:rsid w:val="0075611C"/>
    <w:rsid w:val="007567C1"/>
    <w:rsid w:val="00756CD3"/>
    <w:rsid w:val="00756D46"/>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D42"/>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55C"/>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AF7"/>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977"/>
    <w:rsid w:val="0080003D"/>
    <w:rsid w:val="00800B9E"/>
    <w:rsid w:val="00800C07"/>
    <w:rsid w:val="00801123"/>
    <w:rsid w:val="00801134"/>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3AD8"/>
    <w:rsid w:val="008141CA"/>
    <w:rsid w:val="008143E5"/>
    <w:rsid w:val="008145B2"/>
    <w:rsid w:val="0081480A"/>
    <w:rsid w:val="00814AEC"/>
    <w:rsid w:val="00814EFE"/>
    <w:rsid w:val="00814F51"/>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531"/>
    <w:rsid w:val="008338C0"/>
    <w:rsid w:val="008345C4"/>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D11"/>
    <w:rsid w:val="00847E6B"/>
    <w:rsid w:val="00850182"/>
    <w:rsid w:val="008502D5"/>
    <w:rsid w:val="0085050A"/>
    <w:rsid w:val="0085052F"/>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2E3"/>
    <w:rsid w:val="008553CB"/>
    <w:rsid w:val="008554A5"/>
    <w:rsid w:val="008554E5"/>
    <w:rsid w:val="0085552D"/>
    <w:rsid w:val="008556EC"/>
    <w:rsid w:val="00855C0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7A"/>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6D02"/>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4EFA"/>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EC9"/>
    <w:rsid w:val="008E2F3B"/>
    <w:rsid w:val="008E42EC"/>
    <w:rsid w:val="008E4AB2"/>
    <w:rsid w:val="008E52DF"/>
    <w:rsid w:val="008E5B6C"/>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31C0"/>
    <w:rsid w:val="0091324B"/>
    <w:rsid w:val="00913437"/>
    <w:rsid w:val="0091362F"/>
    <w:rsid w:val="00913767"/>
    <w:rsid w:val="009138DE"/>
    <w:rsid w:val="00913A45"/>
    <w:rsid w:val="00913F00"/>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F4A"/>
    <w:rsid w:val="009224B9"/>
    <w:rsid w:val="009227DF"/>
    <w:rsid w:val="0092307C"/>
    <w:rsid w:val="00923508"/>
    <w:rsid w:val="009239B9"/>
    <w:rsid w:val="00923C4A"/>
    <w:rsid w:val="00923E69"/>
    <w:rsid w:val="0092409E"/>
    <w:rsid w:val="009246FB"/>
    <w:rsid w:val="0092493C"/>
    <w:rsid w:val="00924AE3"/>
    <w:rsid w:val="00925568"/>
    <w:rsid w:val="00925B74"/>
    <w:rsid w:val="00925CF5"/>
    <w:rsid w:val="00926175"/>
    <w:rsid w:val="00926F64"/>
    <w:rsid w:val="009276AF"/>
    <w:rsid w:val="00927A9C"/>
    <w:rsid w:val="00930132"/>
    <w:rsid w:val="00930466"/>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39F"/>
    <w:rsid w:val="00943A15"/>
    <w:rsid w:val="00943B52"/>
    <w:rsid w:val="00943D47"/>
    <w:rsid w:val="00944C37"/>
    <w:rsid w:val="00944E33"/>
    <w:rsid w:val="0094531A"/>
    <w:rsid w:val="0094541E"/>
    <w:rsid w:val="009454C0"/>
    <w:rsid w:val="00945A48"/>
    <w:rsid w:val="0094614C"/>
    <w:rsid w:val="009464DD"/>
    <w:rsid w:val="00946DEA"/>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4A0"/>
    <w:rsid w:val="00954957"/>
    <w:rsid w:val="00954C05"/>
    <w:rsid w:val="00954F7C"/>
    <w:rsid w:val="00954F95"/>
    <w:rsid w:val="009551A6"/>
    <w:rsid w:val="009551AC"/>
    <w:rsid w:val="009553E3"/>
    <w:rsid w:val="00955B99"/>
    <w:rsid w:val="0095619A"/>
    <w:rsid w:val="00956675"/>
    <w:rsid w:val="0095681B"/>
    <w:rsid w:val="0095689E"/>
    <w:rsid w:val="00957057"/>
    <w:rsid w:val="00957526"/>
    <w:rsid w:val="009575B3"/>
    <w:rsid w:val="00957881"/>
    <w:rsid w:val="00957AE5"/>
    <w:rsid w:val="0096014B"/>
    <w:rsid w:val="00960736"/>
    <w:rsid w:val="0096076A"/>
    <w:rsid w:val="00960D2F"/>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DF6"/>
    <w:rsid w:val="00982126"/>
    <w:rsid w:val="009821B8"/>
    <w:rsid w:val="00982654"/>
    <w:rsid w:val="00982FA9"/>
    <w:rsid w:val="009837F2"/>
    <w:rsid w:val="00983815"/>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2BC"/>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A36"/>
    <w:rsid w:val="009A3BEE"/>
    <w:rsid w:val="009A3E08"/>
    <w:rsid w:val="009A4883"/>
    <w:rsid w:val="009A4AA8"/>
    <w:rsid w:val="009A4CB2"/>
    <w:rsid w:val="009A50A0"/>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517B"/>
    <w:rsid w:val="009E5B80"/>
    <w:rsid w:val="009E5CF8"/>
    <w:rsid w:val="009E6330"/>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245"/>
    <w:rsid w:val="00A40470"/>
    <w:rsid w:val="00A4070A"/>
    <w:rsid w:val="00A40C8F"/>
    <w:rsid w:val="00A40EF6"/>
    <w:rsid w:val="00A410C5"/>
    <w:rsid w:val="00A41769"/>
    <w:rsid w:val="00A41CB2"/>
    <w:rsid w:val="00A42352"/>
    <w:rsid w:val="00A424C8"/>
    <w:rsid w:val="00A426BC"/>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A0B"/>
    <w:rsid w:val="00A62AB7"/>
    <w:rsid w:val="00A6314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234"/>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0B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0E7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6C0D"/>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5D"/>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E33"/>
    <w:rsid w:val="00B2080C"/>
    <w:rsid w:val="00B20BB6"/>
    <w:rsid w:val="00B212BD"/>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AE7"/>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D59"/>
    <w:rsid w:val="00B65DCB"/>
    <w:rsid w:val="00B66A82"/>
    <w:rsid w:val="00B6714D"/>
    <w:rsid w:val="00B671CE"/>
    <w:rsid w:val="00B6736A"/>
    <w:rsid w:val="00B67869"/>
    <w:rsid w:val="00B678DF"/>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0DB7"/>
    <w:rsid w:val="00B91CDD"/>
    <w:rsid w:val="00B91E0B"/>
    <w:rsid w:val="00B920EE"/>
    <w:rsid w:val="00B92B41"/>
    <w:rsid w:val="00B92F48"/>
    <w:rsid w:val="00B9304C"/>
    <w:rsid w:val="00B93860"/>
    <w:rsid w:val="00B93AE8"/>
    <w:rsid w:val="00B94CB4"/>
    <w:rsid w:val="00B94CF7"/>
    <w:rsid w:val="00B94DBB"/>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ABB"/>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DD"/>
    <w:rsid w:val="00BF209C"/>
    <w:rsid w:val="00BF2442"/>
    <w:rsid w:val="00BF2AE1"/>
    <w:rsid w:val="00BF2E3B"/>
    <w:rsid w:val="00BF34A0"/>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907"/>
    <w:rsid w:val="00C14FFB"/>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0F2C"/>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2627"/>
    <w:rsid w:val="00C42E3D"/>
    <w:rsid w:val="00C42F64"/>
    <w:rsid w:val="00C4458A"/>
    <w:rsid w:val="00C4459F"/>
    <w:rsid w:val="00C447DB"/>
    <w:rsid w:val="00C447E6"/>
    <w:rsid w:val="00C45072"/>
    <w:rsid w:val="00C451A5"/>
    <w:rsid w:val="00C453F9"/>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B53"/>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EBF"/>
    <w:rsid w:val="00CB3166"/>
    <w:rsid w:val="00CB39ED"/>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CCD"/>
    <w:rsid w:val="00CD20F1"/>
    <w:rsid w:val="00CD2319"/>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3CD"/>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7A6"/>
    <w:rsid w:val="00D15B02"/>
    <w:rsid w:val="00D15C44"/>
    <w:rsid w:val="00D15F39"/>
    <w:rsid w:val="00D15F3E"/>
    <w:rsid w:val="00D15FE1"/>
    <w:rsid w:val="00D16528"/>
    <w:rsid w:val="00D16922"/>
    <w:rsid w:val="00D16F4F"/>
    <w:rsid w:val="00D170B5"/>
    <w:rsid w:val="00D174AF"/>
    <w:rsid w:val="00D17972"/>
    <w:rsid w:val="00D17E22"/>
    <w:rsid w:val="00D20011"/>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CCC"/>
    <w:rsid w:val="00D32152"/>
    <w:rsid w:val="00D323DC"/>
    <w:rsid w:val="00D3256F"/>
    <w:rsid w:val="00D32CCB"/>
    <w:rsid w:val="00D331AB"/>
    <w:rsid w:val="00D336CF"/>
    <w:rsid w:val="00D3370B"/>
    <w:rsid w:val="00D3438E"/>
    <w:rsid w:val="00D34816"/>
    <w:rsid w:val="00D34AB2"/>
    <w:rsid w:val="00D34F6D"/>
    <w:rsid w:val="00D35CD8"/>
    <w:rsid w:val="00D364C8"/>
    <w:rsid w:val="00D36797"/>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89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D4B"/>
    <w:rsid w:val="00E16D8A"/>
    <w:rsid w:val="00E16E94"/>
    <w:rsid w:val="00E16EE2"/>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292"/>
    <w:rsid w:val="00E33D94"/>
    <w:rsid w:val="00E33FBD"/>
    <w:rsid w:val="00E34C14"/>
    <w:rsid w:val="00E34F2C"/>
    <w:rsid w:val="00E34FAD"/>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5163"/>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3FB4"/>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84B"/>
    <w:rsid w:val="00EF5EB6"/>
    <w:rsid w:val="00EF687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1D68"/>
    <w:rsid w:val="00F222D3"/>
    <w:rsid w:val="00F2277D"/>
    <w:rsid w:val="00F228FE"/>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88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9EE"/>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260"/>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8C"/>
    <w:rsid w:val="00F858CA"/>
    <w:rsid w:val="00F85DE1"/>
    <w:rsid w:val="00F86901"/>
    <w:rsid w:val="00F86C6E"/>
    <w:rsid w:val="00F86FC2"/>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EC"/>
    <w:rsid w:val="00FE7E66"/>
    <w:rsid w:val="00FF07C7"/>
    <w:rsid w:val="00FF0B17"/>
    <w:rsid w:val="00FF12B4"/>
    <w:rsid w:val="00FF173C"/>
    <w:rsid w:val="00FF19D9"/>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3.xlsx"/><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200" cap="all"/>
            </a:pPr>
            <a:r>
              <a:rPr lang="uk-UA" sz="1200" cap="all" baseline="0">
                <a:latin typeface="Times New Roman" panose="02020603050405020304" pitchFamily="18" charset="0"/>
                <a:cs typeface="Times New Roman" panose="02020603050405020304" pitchFamily="18" charset="0"/>
              </a:rPr>
              <a:t> за </a:t>
            </a:r>
            <a:r>
              <a:rPr lang="en-US" sz="1200" cap="all" baseline="0">
                <a:latin typeface="Times New Roman" panose="02020603050405020304" pitchFamily="18" charset="0"/>
                <a:cs typeface="Times New Roman" panose="02020603050405020304" pitchFamily="18" charset="0"/>
              </a:rPr>
              <a:t>I</a:t>
            </a:r>
            <a:r>
              <a:rPr lang="uk-UA" sz="1200" cap="all" baseline="0">
                <a:latin typeface="Times New Roman" panose="02020603050405020304" pitchFamily="18" charset="0"/>
                <a:cs typeface="Times New Roman" panose="02020603050405020304" pitchFamily="18" charset="0"/>
              </a:rPr>
              <a:t> півріччя 2022 та 2023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layout>
        <c:manualLayout>
          <c:xMode val="edge"/>
          <c:yMode val="edge"/>
          <c:x val="0.10243233634672556"/>
          <c:y val="1.568627450980392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I півріччя 2022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AE7-42DF-AD5B-09DFCD1AF982}"/>
                </c:ext>
                <c:ext xmlns:c15="http://schemas.microsoft.com/office/drawing/2012/chart" uri="{CE6537A1-D6FC-4f65-9D91-7224C49458BB}">
                  <c15:layout/>
                </c:ext>
              </c:extLst>
            </c:dLbl>
            <c:dLbl>
              <c:idx val="1"/>
              <c:layout>
                <c:manualLayout>
                  <c:x val="-1.356002205987758E-2"/>
                  <c:y val="1.22470663110989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AE7-42DF-AD5B-09DFCD1AF982}"/>
                </c:ext>
                <c:ext xmlns:c15="http://schemas.microsoft.com/office/drawing/2012/chart" uri="{CE6537A1-D6FC-4f65-9D91-7224C49458BB}">
                  <c15:layout/>
                </c:ext>
              </c:extLst>
            </c:dLbl>
            <c:dLbl>
              <c:idx val="2"/>
              <c:layout>
                <c:manualLayout>
                  <c:x val="1.7443348237596704E-2"/>
                  <c:y val="-3.179958940775967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AE7-42DF-AD5B-09DFCD1AF982}"/>
                </c:ext>
                <c:ext xmlns:c15="http://schemas.microsoft.com/office/drawing/2012/chart" uri="{CE6537A1-D6FC-4f65-9D91-7224C49458BB}">
                  <c15:layout/>
                </c:ext>
              </c:extLst>
            </c:dLbl>
            <c:dLbl>
              <c:idx val="3"/>
              <c:layout>
                <c:manualLayout>
                  <c:x val="-4.3046002648879983E-3"/>
                  <c:y val="-6.720430107526820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335582.5</c:v>
                </c:pt>
                <c:pt idx="1">
                  <c:v>206161.4</c:v>
                </c:pt>
                <c:pt idx="2">
                  <c:v>5101.3</c:v>
                </c:pt>
                <c:pt idx="3">
                  <c:v>124319.8</c:v>
                </c:pt>
              </c:numCache>
            </c:numRef>
          </c:val>
          <c:extLst xmlns:c16r2="http://schemas.microsoft.com/office/drawing/2015/06/chart">
            <c:ext xmlns:c16="http://schemas.microsoft.com/office/drawing/2014/chart" uri="{C3380CC4-5D6E-409C-BE32-E72D297353CC}">
              <c16:uniqueId val="{00000004-9AE7-42DF-AD5B-09DFCD1AF982}"/>
            </c:ext>
          </c:extLst>
        </c:ser>
        <c:ser>
          <c:idx val="1"/>
          <c:order val="1"/>
          <c:tx>
            <c:strRef>
              <c:f>Всього!$D$1</c:f>
              <c:strCache>
                <c:ptCount val="1"/>
                <c:pt idx="0">
                  <c:v>I півріччя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AE7-42DF-AD5B-09DFCD1AF982}"/>
                </c:ext>
                <c:ext xmlns:c15="http://schemas.microsoft.com/office/drawing/2012/chart" uri="{CE6537A1-D6FC-4f65-9D91-7224C49458BB}">
                  <c15:layout/>
                </c:ext>
              </c:extLst>
            </c:dLbl>
            <c:dLbl>
              <c:idx val="1"/>
              <c:layout>
                <c:manualLayout>
                  <c:x val="3.5977370417630605E-2"/>
                  <c:y val="-2.61070188807044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AE7-42DF-AD5B-09DFCD1AF982}"/>
                </c:ext>
                <c:ext xmlns:c15="http://schemas.microsoft.com/office/drawing/2012/chart" uri="{CE6537A1-D6FC-4f65-9D91-7224C49458BB}">
                  <c15:layout/>
                </c:ext>
              </c:extLst>
            </c:dLbl>
            <c:dLbl>
              <c:idx val="2"/>
              <c:layout>
                <c:manualLayout>
                  <c:x val="1.756697408871314E-2"/>
                  <c:y val="-4.65846521660040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AE7-42DF-AD5B-09DFCD1AF982}"/>
                </c:ext>
                <c:ext xmlns:c15="http://schemas.microsoft.com/office/drawing/2012/chart" uri="{CE6537A1-D6FC-4f65-9D91-7224C49458BB}">
                  <c15:layout/>
                </c:ext>
              </c:extLst>
            </c:dLbl>
            <c:dLbl>
              <c:idx val="3"/>
              <c:layout>
                <c:manualLayout>
                  <c:x val="5.8481597903028759E-2"/>
                  <c:y val="-2.79180954195241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#,##0.0</c:formatCode>
                <c:ptCount val="4"/>
                <c:pt idx="0">
                  <c:v>630730.1</c:v>
                </c:pt>
                <c:pt idx="1">
                  <c:v>301301.3</c:v>
                </c:pt>
                <c:pt idx="2">
                  <c:v>51685.4</c:v>
                </c:pt>
                <c:pt idx="3">
                  <c:v>277743.5</c:v>
                </c:pt>
              </c:numCache>
            </c:numRef>
          </c:val>
          <c:extLst xmlns:c16r2="http://schemas.microsoft.com/office/drawing/2015/06/char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311780320"/>
        <c:axId val="311780704"/>
        <c:axId val="311946576"/>
      </c:bar3DChart>
      <c:catAx>
        <c:axId val="31178032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311780704"/>
        <c:crosses val="autoZero"/>
        <c:auto val="1"/>
        <c:lblAlgn val="ctr"/>
        <c:lblOffset val="100"/>
        <c:noMultiLvlLbl val="0"/>
      </c:catAx>
      <c:valAx>
        <c:axId val="311780704"/>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311780320"/>
        <c:crosses val="autoZero"/>
        <c:crossBetween val="between"/>
      </c:valAx>
      <c:serAx>
        <c:axId val="311946576"/>
        <c:scaling>
          <c:orientation val="minMax"/>
        </c:scaling>
        <c:delete val="1"/>
        <c:axPos val="b"/>
        <c:majorTickMark val="out"/>
        <c:minorTickMark val="none"/>
        <c:tickLblPos val="nextTo"/>
        <c:crossAx val="311780704"/>
        <c:crosses val="autoZero"/>
      </c:serAx>
      <c:spPr>
        <a:solidFill>
          <a:srgbClr val="FFCCFF"/>
        </a:solid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rgbClr val="FFCCFF"/>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a:t>
            </a:r>
            <a:r>
              <a:rPr lang="en-US" sz="1200" b="1">
                <a:solidFill>
                  <a:sysClr val="windowText" lastClr="000000"/>
                </a:solidFill>
                <a:latin typeface="Times New Roman" panose="02020603050405020304" pitchFamily="18" charset="0"/>
                <a:cs typeface="Times New Roman" panose="02020603050405020304" pitchFamily="18" charset="0"/>
              </a:rPr>
              <a:t>I</a:t>
            </a:r>
            <a:r>
              <a:rPr lang="uk-UA" sz="1200" b="1">
                <a:solidFill>
                  <a:sysClr val="windowText" lastClr="000000"/>
                </a:solidFill>
                <a:latin typeface="Times New Roman" panose="02020603050405020304" pitchFamily="18" charset="0"/>
                <a:cs typeface="Times New Roman" panose="02020603050405020304" pitchFamily="18" charset="0"/>
              </a:rPr>
              <a:t> півріччя 2023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2F7D-45F3-BE52-6E378322434F}"/>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0"/>
                  <c:y val="9.7418586565568191E-2"/>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2F7D-45F3-BE52-6E378322434F}"/>
                </c:ext>
                <c:ext xmlns:c15="http://schemas.microsoft.com/office/drawing/2012/chart" uri="{CE6537A1-D6FC-4f65-9D91-7224C49458BB}">
                  <c15:layout/>
                  <c15:dlblFieldTable/>
                  <c15:showDataLabelsRange val="0"/>
                </c:ext>
              </c:extLst>
            </c:dLbl>
            <c:dLbl>
              <c:idx val="2"/>
              <c:layout>
                <c:manualLayout>
                  <c:x val="0"/>
                  <c:y val="-0.1676205404879946"/>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2F7D-45F3-BE52-6E378322434F}"/>
                </c:ext>
                <c:ext xmlns:c15="http://schemas.microsoft.com/office/drawing/2012/chart" uri="{CE6537A1-D6FC-4f65-9D91-7224C49458BB}">
                  <c15:layout/>
                  <c15:dlblFieldTable/>
                  <c15:showDataLabelsRange val="0"/>
                </c:ext>
              </c:extLst>
            </c:dLbl>
            <c:dLbl>
              <c:idx val="3"/>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2F7D-45F3-BE52-6E378322434F}"/>
                </c:ext>
                <c:ext xmlns:c15="http://schemas.microsoft.com/office/drawing/2012/chart" uri="{CE6537A1-D6FC-4f65-9D91-7224C49458BB}">
                  <c15:layout/>
                  <c15:dlblFieldTable/>
                  <c15:showDataLabelsRange val="0"/>
                </c:ext>
              </c:extLst>
            </c:dLbl>
            <c:dLbl>
              <c:idx val="4"/>
              <c:layout/>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2F7D-45F3-BE52-6E378322434F}"/>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176355.1</c:v>
                </c:pt>
                <c:pt idx="1">
                  <c:v>28760.6</c:v>
                </c:pt>
                <c:pt idx="2">
                  <c:v>38520</c:v>
                </c:pt>
                <c:pt idx="3">
                  <c:v>52128.2</c:v>
                </c:pt>
                <c:pt idx="4">
                  <c:v>5537.3999999999796</c:v>
                </c:pt>
              </c:numCache>
            </c:numRef>
          </c:val>
          <c:extLst xmlns:c16r2="http://schemas.microsoft.com/office/drawing/2015/06/char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CCECFF"/>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 </a:t>
            </a:r>
            <a:r>
              <a:rPr lang="ru-RU" sz="1200">
                <a:solidFill>
                  <a:sysClr val="windowText" lastClr="000000"/>
                </a:solidFill>
                <a:latin typeface="Times New Roman" panose="02020603050405020304" pitchFamily="18" charset="0"/>
                <a:cs typeface="Times New Roman" panose="02020603050405020304" pitchFamily="18" charset="0"/>
              </a:rPr>
              <a:t>за І півріччя </a:t>
            </a:r>
            <a:r>
              <a:rPr lang="uk-UA" sz="1200">
                <a:solidFill>
                  <a:sysClr val="windowText" lastClr="000000"/>
                </a:solidFill>
                <a:latin typeface="Times New Roman" panose="02020603050405020304" pitchFamily="18" charset="0"/>
                <a:cs typeface="Times New Roman" panose="02020603050405020304" pitchFamily="18" charset="0"/>
              </a:rPr>
              <a:t>2023 року,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spPr>
            <a:solidFill>
              <a:srgbClr val="7030A0"/>
            </a:solidFill>
          </c:spPr>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565-4CA2-99CD-858BBE6E6A70}"/>
              </c:ext>
            </c:extLst>
          </c:dPt>
          <c:dPt>
            <c:idx val="1"/>
            <c:bubble3D val="0"/>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565-4CA2-99CD-858BBE6E6A70}"/>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565-4CA2-99CD-858BBE6E6A70}"/>
              </c:ext>
            </c:extLst>
          </c:dPt>
          <c:dPt>
            <c:idx val="3"/>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565-4CA2-99CD-858BBE6E6A70}"/>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4565-4CA2-99CD-858BBE6E6A70}"/>
              </c:ext>
            </c:extLst>
          </c:dPt>
          <c:dLbls>
            <c:dLbl>
              <c:idx val="0"/>
              <c:layout>
                <c:manualLayout>
                  <c:x val="0.26916929133858269"/>
                  <c:y val="-5.4200542005420065E-2"/>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6A289E1-4486-4015-8B11-31FFACB2AB51}" type="CATEGORYNAME">
                      <a:rPr lang="uk-UA" b="1" i="1" baseline="0"/>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D63DC06A-7AB6-4D57-AC0F-F0F1E3A9EEBB}"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97,6%</a:t>
                    </a:r>
                  </a:p>
                </c:rich>
              </c:tx>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565-4CA2-99CD-858BBE6E6A70}"/>
                </c:ext>
                <c:ext xmlns:c15="http://schemas.microsoft.com/office/drawing/2012/chart" uri="{CE6537A1-D6FC-4f65-9D91-7224C49458BB}">
                  <c15:layout>
                    <c:manualLayout>
                      <c:w val="0.1484375"/>
                      <c:h val="0.16211382113821138"/>
                    </c:manualLayout>
                  </c15:layout>
                  <c15:dlblFieldTable/>
                  <c15:showDataLabelsRange val="0"/>
                </c:ext>
              </c:extLst>
            </c:dLbl>
            <c:dLbl>
              <c:idx val="1"/>
              <c:layout>
                <c:manualLayout>
                  <c:x val="2.7169865485564333E-2"/>
                  <c:y val="3.0441499690587456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910F4B79-240B-411D-A5AE-04E02213904D}" type="CATEGORYNAME">
                      <a:rPr lang="uk-UA" b="1" i="1" baseline="0"/>
                      <a:pPr>
                        <a:defRPr i="1">
                          <a:solidFill>
                            <a:sysClr val="windowText" lastClr="000000"/>
                          </a:solidFill>
                        </a:defRPr>
                      </a:pPr>
                      <a:t>[ІМ’Я КАТЕГОРІЇ]</a:t>
                    </a:fld>
                    <a:r>
                      <a:rPr lang="uk-UA" b="1" i="1" baseline="0"/>
                      <a:t>; </a:t>
                    </a:r>
                    <a:fld id="{489ADC09-13BF-45D1-9788-35A559A550B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0,13%</a:t>
                    </a: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565-4CA2-99CD-858BBE6E6A70}"/>
                </c:ext>
                <c:ext xmlns:c15="http://schemas.microsoft.com/office/drawing/2012/chart" uri="{CE6537A1-D6FC-4f65-9D91-7224C49458BB}">
                  <c15:layout>
                    <c:manualLayout>
                      <c:w val="0.36384990157480307"/>
                      <c:h val="0.10276273392655186"/>
                    </c:manualLayout>
                  </c15:layout>
                  <c15:dlblFieldTable/>
                  <c15:showDataLabelsRange val="0"/>
                </c:ext>
              </c:extLst>
            </c:dLbl>
            <c:dLbl>
              <c:idx val="2"/>
              <c:layout>
                <c:manualLayout>
                  <c:x val="0.27519972112860891"/>
                  <c:y val="-1.402652412350900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2F42B485-E0CA-46C9-A978-718A85D4BA80}" type="CATEGORYNAME">
                      <a:rPr lang="uk-UA" b="1" i="1" baseline="0"/>
                      <a:pPr>
                        <a:defRPr i="1">
                          <a:solidFill>
                            <a:sysClr val="windowText" lastClr="000000"/>
                          </a:solidFill>
                        </a:defRPr>
                      </a:pPr>
                      <a:t>[ІМ’Я КАТЕГОРІЇ]</a:t>
                    </a:fld>
                    <a:r>
                      <a:rPr lang="uk-UA" b="1" i="1" baseline="0"/>
                      <a:t>; </a:t>
                    </a:r>
                    <a:fld id="{8AFB245B-75DD-4C9C-B77A-5669A8BDF126}"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2,27%</a:t>
                    </a:r>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565-4CA2-99CD-858BBE6E6A70}"/>
                </c:ext>
                <c:ext xmlns:c15="http://schemas.microsoft.com/office/drawing/2012/chart" uri="{CE6537A1-D6FC-4f65-9D91-7224C49458BB}">
                  <c15:layout>
                    <c:manualLayout>
                      <c:w val="0.295101171458999"/>
                      <c:h val="0.13442282749675746"/>
                    </c:manualLayout>
                  </c15:layout>
                  <c15:dlblFieldTable/>
                  <c15:showDataLabelsRange val="0"/>
                </c:ext>
              </c:extLst>
            </c:dLbl>
            <c:dLbl>
              <c:idx val="3"/>
              <c:delete val="1"/>
              <c:extLst xmlns:c16r2="http://schemas.microsoft.com/office/drawing/2015/06/chart">
                <c:ext xmlns:c16="http://schemas.microsoft.com/office/drawing/2014/chart" uri="{C3380CC4-5D6E-409C-BE32-E72D297353CC}">
                  <c16:uniqueId val="{00000007-4565-4CA2-99CD-858BBE6E6A70}"/>
                </c:ext>
                <c:ext xmlns:c15="http://schemas.microsoft.com/office/drawing/2012/chart" uri="{CE6537A1-D6FC-4f65-9D91-7224C49458BB}">
                  <c15:layout/>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4565-4CA2-99CD-858BBE6E6A70}"/>
                </c:ext>
                <c:ext xmlns:c15="http://schemas.microsoft.com/office/drawing/2012/chart" uri="{CE6537A1-D6FC-4f65-9D91-7224C49458BB}"/>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сф!$A$2:$A$5</c:f>
              <c:strCache>
                <c:ptCount val="4"/>
                <c:pt idx="0">
                  <c:v>Власні надходження </c:v>
                </c:pt>
                <c:pt idx="1">
                  <c:v>Кошти від продажу землі</c:v>
                </c:pt>
                <c:pt idx="2">
                  <c:v>Цільові фонди</c:v>
                </c:pt>
                <c:pt idx="3">
                  <c:v>Інші</c:v>
                </c:pt>
              </c:strCache>
            </c:strRef>
          </c:cat>
          <c:val>
            <c:numRef>
              <c:f>сф!$B$2:$B$5</c:f>
              <c:numCache>
                <c:formatCode>#,##0.0</c:formatCode>
                <c:ptCount val="4"/>
                <c:pt idx="0">
                  <c:v>50420.2</c:v>
                </c:pt>
                <c:pt idx="1">
                  <c:v>68</c:v>
                </c:pt>
                <c:pt idx="2">
                  <c:v>1169.0999999999999</c:v>
                </c:pt>
                <c:pt idx="3">
                  <c:v>28.100000000005821</c:v>
                </c:pt>
              </c:numCache>
            </c:numRef>
          </c:val>
          <c:extLst xmlns:c16r2="http://schemas.microsoft.com/office/drawing/2015/06/char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5B9BD5">
        <a:lumMod val="20000"/>
        <a:lumOff val="80000"/>
      </a:srgbClr>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2F0FE-05AD-45E6-AC6C-48E1B9556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2426</TotalTime>
  <Pages>10</Pages>
  <Words>17486</Words>
  <Characters>9968</Characters>
  <Application>Microsoft Office Word</Application>
  <DocSecurity>0</DocSecurity>
  <Lines>83</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181</cp:revision>
  <cp:lastPrinted>2023-08-03T10:51:00Z</cp:lastPrinted>
  <dcterms:created xsi:type="dcterms:W3CDTF">2023-07-20T08:39:00Z</dcterms:created>
  <dcterms:modified xsi:type="dcterms:W3CDTF">2023-08-07T09:15:00Z</dcterms:modified>
</cp:coreProperties>
</file>